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9E5" w:rsidRDefault="00F019E5" w:rsidP="00F019E5"/>
    <w:p w:rsidR="00F019E5" w:rsidRDefault="00F019E5" w:rsidP="00F019E5"/>
    <w:p w:rsidR="00F019E5" w:rsidRDefault="00F019E5" w:rsidP="00F019E5">
      <w:pPr>
        <w:jc w:val="center"/>
        <w:rPr>
          <w:rFonts w:cs="Arial"/>
          <w:b/>
          <w:sz w:val="28"/>
          <w:szCs w:val="28"/>
        </w:rPr>
      </w:pPr>
      <w:r w:rsidRPr="00F019E5">
        <w:rPr>
          <w:rFonts w:cs="Arial"/>
          <w:b/>
          <w:sz w:val="28"/>
          <w:szCs w:val="28"/>
        </w:rPr>
        <w:t>WOC 1 Triennial Report</w:t>
      </w:r>
    </w:p>
    <w:p w:rsidR="00F019E5" w:rsidRDefault="00F019E5" w:rsidP="00F019E5">
      <w:pPr>
        <w:jc w:val="center"/>
        <w:rPr>
          <w:rFonts w:cs="Arial"/>
          <w:b/>
          <w:sz w:val="28"/>
          <w:szCs w:val="28"/>
        </w:rPr>
      </w:pPr>
      <w:r>
        <w:rPr>
          <w:rFonts w:cs="Arial"/>
          <w:b/>
          <w:sz w:val="28"/>
          <w:szCs w:val="28"/>
        </w:rPr>
        <w:t>2012-2015</w:t>
      </w:r>
    </w:p>
    <w:p w:rsidR="00F019E5" w:rsidRDefault="00F019E5" w:rsidP="00F019E5">
      <w:pPr>
        <w:jc w:val="center"/>
        <w:rPr>
          <w:rFonts w:cs="Arial"/>
          <w:b/>
          <w:sz w:val="28"/>
          <w:szCs w:val="28"/>
        </w:rPr>
      </w:pPr>
    </w:p>
    <w:p w:rsidR="00F019E5" w:rsidRPr="00F019E5" w:rsidRDefault="00F019E5" w:rsidP="00F019E5">
      <w:pPr>
        <w:jc w:val="center"/>
        <w:rPr>
          <w:rFonts w:cs="Arial"/>
          <w:b/>
          <w:sz w:val="28"/>
          <w:szCs w:val="28"/>
        </w:rPr>
      </w:pPr>
      <w:r w:rsidRPr="00F019E5">
        <w:rPr>
          <w:rFonts w:cs="Arial"/>
          <w:b/>
          <w:sz w:val="28"/>
          <w:szCs w:val="28"/>
        </w:rPr>
        <w:t>STUDY GROUP 1.</w:t>
      </w:r>
      <w:r w:rsidR="00CD0ABF">
        <w:rPr>
          <w:rFonts w:cs="Arial"/>
          <w:b/>
          <w:sz w:val="28"/>
          <w:szCs w:val="28"/>
        </w:rPr>
        <w:t>2</w:t>
      </w:r>
    </w:p>
    <w:p w:rsidR="00F019E5" w:rsidRPr="00F019E5" w:rsidRDefault="00CD0ABF" w:rsidP="00F019E5">
      <w:pPr>
        <w:jc w:val="center"/>
        <w:rPr>
          <w:rFonts w:cs="Arial"/>
          <w:b/>
          <w:sz w:val="28"/>
          <w:szCs w:val="28"/>
        </w:rPr>
      </w:pPr>
      <w:r>
        <w:rPr>
          <w:rFonts w:cs="Arial"/>
          <w:b/>
          <w:sz w:val="28"/>
          <w:szCs w:val="28"/>
        </w:rPr>
        <w:t>ASSESSMENT OF GLOBAL RESERVES AND RESOURCES</w:t>
      </w:r>
      <w:r w:rsidR="00BB0E55">
        <w:rPr>
          <w:rFonts w:cs="Arial"/>
          <w:b/>
          <w:sz w:val="28"/>
          <w:szCs w:val="28"/>
        </w:rPr>
        <w:t xml:space="preserve"> OF NATURAL GAS</w:t>
      </w:r>
    </w:p>
    <w:p w:rsidR="00B0057A" w:rsidRDefault="00B0057A" w:rsidP="00F019E5"/>
    <w:p w:rsidR="00F019E5" w:rsidRPr="00CD0ABF" w:rsidRDefault="00F019E5" w:rsidP="00F019E5">
      <w:pPr>
        <w:jc w:val="center"/>
        <w:rPr>
          <w:rFonts w:cs="Arial"/>
          <w:b/>
          <w:lang w:val="en-GB"/>
        </w:rPr>
      </w:pPr>
      <w:r w:rsidRPr="00CD0ABF">
        <w:rPr>
          <w:rFonts w:cs="Arial"/>
          <w:b/>
          <w:lang w:val="en-GB"/>
        </w:rPr>
        <w:t>Study Group Leader</w:t>
      </w:r>
    </w:p>
    <w:p w:rsidR="00F019E5" w:rsidRPr="00CD0ABF" w:rsidRDefault="00CD0ABF" w:rsidP="00F019E5">
      <w:pPr>
        <w:jc w:val="center"/>
        <w:rPr>
          <w:rFonts w:cs="Arial"/>
          <w:lang w:val="en-GB"/>
        </w:rPr>
      </w:pPr>
      <w:r w:rsidRPr="00CD0ABF">
        <w:rPr>
          <w:rFonts w:cs="Arial"/>
          <w:lang w:val="en-GB"/>
        </w:rPr>
        <w:t>Mohamed Kaced</w:t>
      </w:r>
      <w:r w:rsidR="00F019E5" w:rsidRPr="00CD0ABF">
        <w:rPr>
          <w:rFonts w:cs="Arial"/>
          <w:lang w:val="en-GB"/>
        </w:rPr>
        <w:t xml:space="preserve"> (</w:t>
      </w:r>
      <w:r>
        <w:rPr>
          <w:rFonts w:cs="Arial"/>
          <w:lang w:val="en-GB"/>
        </w:rPr>
        <w:t>Sonatrach, Algeria</w:t>
      </w:r>
      <w:r w:rsidR="00F019E5" w:rsidRPr="00CD0ABF">
        <w:rPr>
          <w:rFonts w:cs="Arial"/>
          <w:lang w:val="en-GB"/>
        </w:rPr>
        <w:t>)</w:t>
      </w:r>
    </w:p>
    <w:p w:rsidR="00F019E5" w:rsidRPr="00031AA5" w:rsidRDefault="00F019E5" w:rsidP="00F019E5">
      <w:pPr>
        <w:jc w:val="center"/>
        <w:rPr>
          <w:rFonts w:cs="Arial"/>
          <w:b/>
          <w:lang w:val="en-GB"/>
        </w:rPr>
      </w:pPr>
      <w:r w:rsidRPr="00031AA5">
        <w:rPr>
          <w:rFonts w:cs="Arial"/>
          <w:b/>
          <w:lang w:val="en-GB"/>
        </w:rPr>
        <w:t>Study Group Members</w:t>
      </w:r>
    </w:p>
    <w:p w:rsidR="00B72E08" w:rsidRPr="00031AA5" w:rsidRDefault="00B72E08" w:rsidP="00B72E08">
      <w:pPr>
        <w:spacing w:line="240" w:lineRule="auto"/>
        <w:jc w:val="center"/>
        <w:rPr>
          <w:rFonts w:cs="Arial"/>
          <w:lang w:val="en-GB"/>
        </w:rPr>
      </w:pPr>
      <w:r>
        <w:rPr>
          <w:rFonts w:cs="Arial"/>
          <w:lang w:val="en-GB"/>
        </w:rPr>
        <w:t>Abdelouahad Belmouloud</w:t>
      </w:r>
      <w:r w:rsidRPr="00031AA5">
        <w:rPr>
          <w:rFonts w:cs="Arial"/>
          <w:lang w:val="en-GB"/>
        </w:rPr>
        <w:t xml:space="preserve"> (</w:t>
      </w:r>
      <w:r>
        <w:rPr>
          <w:rFonts w:cs="Arial"/>
          <w:lang w:val="en-GB"/>
        </w:rPr>
        <w:t>Sonatrach</w:t>
      </w:r>
      <w:r w:rsidRPr="00031AA5">
        <w:rPr>
          <w:rFonts w:cs="Arial"/>
          <w:lang w:val="en-GB"/>
        </w:rPr>
        <w:t xml:space="preserve">, </w:t>
      </w:r>
      <w:r>
        <w:rPr>
          <w:rFonts w:cs="Arial"/>
          <w:lang w:val="en-GB"/>
        </w:rPr>
        <w:t>Algeria</w:t>
      </w:r>
      <w:r w:rsidRPr="00031AA5">
        <w:rPr>
          <w:rFonts w:cs="Arial"/>
          <w:lang w:val="en-GB"/>
        </w:rPr>
        <w:t>)</w:t>
      </w:r>
    </w:p>
    <w:p w:rsidR="00B72E08" w:rsidRPr="00031AA5" w:rsidRDefault="00B72E08" w:rsidP="00B72E08">
      <w:pPr>
        <w:spacing w:line="240" w:lineRule="auto"/>
        <w:jc w:val="center"/>
        <w:rPr>
          <w:rFonts w:cs="Arial"/>
          <w:lang w:val="en-GB"/>
        </w:rPr>
      </w:pPr>
      <w:r w:rsidRPr="006602FD">
        <w:rPr>
          <w:rFonts w:cs="Arial"/>
          <w:lang w:val="en-GB"/>
        </w:rPr>
        <w:t>Daojiang Long</w:t>
      </w:r>
      <w:r>
        <w:rPr>
          <w:rFonts w:cs="Arial"/>
          <w:lang w:val="en-GB"/>
        </w:rPr>
        <w:t xml:space="preserve"> </w:t>
      </w:r>
      <w:r w:rsidRPr="00031AA5">
        <w:rPr>
          <w:rFonts w:cs="Arial"/>
          <w:lang w:val="en-GB"/>
        </w:rPr>
        <w:t>(</w:t>
      </w:r>
      <w:r w:rsidRPr="006602FD">
        <w:rPr>
          <w:rFonts w:cs="Arial"/>
          <w:lang w:val="en-GB"/>
        </w:rPr>
        <w:t>Petrochina</w:t>
      </w:r>
      <w:r w:rsidRPr="00031AA5">
        <w:rPr>
          <w:rFonts w:cs="Arial"/>
          <w:lang w:val="en-GB"/>
        </w:rPr>
        <w:t xml:space="preserve">, </w:t>
      </w:r>
      <w:r w:rsidRPr="006602FD">
        <w:rPr>
          <w:rFonts w:cs="Arial"/>
          <w:lang w:val="en-GB"/>
        </w:rPr>
        <w:t>China</w:t>
      </w:r>
      <w:r w:rsidRPr="00031AA5">
        <w:rPr>
          <w:rFonts w:cs="Arial"/>
          <w:lang w:val="en-GB"/>
        </w:rPr>
        <w:t>)</w:t>
      </w:r>
    </w:p>
    <w:p w:rsidR="00B72E08" w:rsidRPr="00077808" w:rsidRDefault="00B72E08" w:rsidP="00B72E08">
      <w:pPr>
        <w:spacing w:line="240" w:lineRule="auto"/>
        <w:jc w:val="center"/>
        <w:rPr>
          <w:rFonts w:cs="Arial"/>
          <w:lang w:val="en-GB"/>
        </w:rPr>
      </w:pPr>
      <w:r w:rsidRPr="00077808">
        <w:rPr>
          <w:rFonts w:cs="Arial"/>
          <w:lang w:val="en-GB"/>
        </w:rPr>
        <w:t>David Parkinson (Wood Mackenzie, Singapore)</w:t>
      </w:r>
      <w:r w:rsidRPr="00077808">
        <w:rPr>
          <w:rFonts w:cs="Arial"/>
          <w:lang w:val="en-GB"/>
        </w:rPr>
        <w:tab/>
      </w:r>
    </w:p>
    <w:p w:rsidR="00077808" w:rsidRPr="00031AA5" w:rsidRDefault="00077808" w:rsidP="00077808">
      <w:pPr>
        <w:spacing w:line="240" w:lineRule="auto"/>
        <w:jc w:val="center"/>
        <w:rPr>
          <w:rFonts w:cs="Arial"/>
          <w:lang w:val="en-GB"/>
        </w:rPr>
      </w:pPr>
      <w:r w:rsidRPr="00F96A7B">
        <w:rPr>
          <w:rFonts w:cs="Arial"/>
          <w:lang w:val="en-GB"/>
        </w:rPr>
        <w:t>Denis Krambeck Dinelli-</w:t>
      </w:r>
      <w:r w:rsidRPr="00031AA5">
        <w:rPr>
          <w:rFonts w:cs="Arial"/>
          <w:lang w:val="en-GB"/>
        </w:rPr>
        <w:t xml:space="preserve"> (</w:t>
      </w:r>
      <w:r w:rsidRPr="00F96A7B">
        <w:rPr>
          <w:rFonts w:cs="Arial"/>
          <w:lang w:val="en-GB"/>
        </w:rPr>
        <w:t>Petrobras, Brazil</w:t>
      </w:r>
      <w:r w:rsidRPr="00031AA5">
        <w:rPr>
          <w:rFonts w:cs="Arial"/>
          <w:lang w:val="en-GB"/>
        </w:rPr>
        <w:t>)</w:t>
      </w:r>
    </w:p>
    <w:p w:rsidR="00CD0ABF" w:rsidRPr="00031AA5" w:rsidRDefault="00F96A7B" w:rsidP="00CD0ABF">
      <w:pPr>
        <w:spacing w:line="240" w:lineRule="auto"/>
        <w:jc w:val="center"/>
        <w:rPr>
          <w:rFonts w:cs="Arial"/>
          <w:lang w:val="en-GB"/>
        </w:rPr>
      </w:pPr>
      <w:r w:rsidRPr="00F96A7B">
        <w:rPr>
          <w:rFonts w:cs="Arial"/>
          <w:lang w:val="en-GB"/>
        </w:rPr>
        <w:t xml:space="preserve">Fernando Jorge Bado- </w:t>
      </w:r>
      <w:r w:rsidR="00CD0ABF" w:rsidRPr="00031AA5">
        <w:rPr>
          <w:rFonts w:cs="Arial"/>
          <w:lang w:val="en-GB"/>
        </w:rPr>
        <w:t>(</w:t>
      </w:r>
      <w:r w:rsidR="006602FD" w:rsidRPr="00F96A7B">
        <w:rPr>
          <w:rFonts w:cs="Arial"/>
          <w:lang w:val="en-GB"/>
        </w:rPr>
        <w:t>Tenaris, Argentina</w:t>
      </w:r>
      <w:r w:rsidR="00CD0ABF" w:rsidRPr="00031AA5">
        <w:rPr>
          <w:rFonts w:cs="Arial"/>
          <w:lang w:val="en-GB"/>
        </w:rPr>
        <w:t>)</w:t>
      </w:r>
    </w:p>
    <w:p w:rsidR="006602FD" w:rsidRPr="00077808" w:rsidRDefault="006602FD" w:rsidP="006602FD">
      <w:pPr>
        <w:spacing w:line="240" w:lineRule="auto"/>
        <w:jc w:val="center"/>
        <w:rPr>
          <w:rFonts w:cs="Arial"/>
          <w:lang w:val="en-GB"/>
        </w:rPr>
      </w:pPr>
      <w:r w:rsidRPr="006602FD">
        <w:rPr>
          <w:rFonts w:cs="Arial"/>
          <w:lang w:val="en-GB"/>
        </w:rPr>
        <w:t>Khazisyed Ahmedjeelani</w:t>
      </w:r>
      <w:r>
        <w:rPr>
          <w:rFonts w:cs="Arial"/>
          <w:lang w:val="en-GB"/>
        </w:rPr>
        <w:t xml:space="preserve"> (</w:t>
      </w:r>
      <w:r w:rsidRPr="00077808">
        <w:rPr>
          <w:rFonts w:cs="Arial"/>
          <w:lang w:val="en-GB"/>
        </w:rPr>
        <w:t>Saudi Aramco, Saudi Arabia)</w:t>
      </w:r>
    </w:p>
    <w:p w:rsidR="006602FD" w:rsidRPr="00077808" w:rsidRDefault="006602FD" w:rsidP="006602FD">
      <w:pPr>
        <w:spacing w:line="240" w:lineRule="auto"/>
        <w:jc w:val="center"/>
        <w:rPr>
          <w:rFonts w:eastAsia="Times New Roman" w:cs="Arial"/>
          <w:color w:val="000000"/>
          <w:kern w:val="24"/>
          <w:lang w:eastAsia="fr-FR"/>
        </w:rPr>
      </w:pPr>
      <w:r w:rsidRPr="00077808">
        <w:rPr>
          <w:rFonts w:cs="Arial"/>
          <w:lang w:val="en-GB"/>
        </w:rPr>
        <w:t>Ladislav Goryl</w:t>
      </w:r>
      <w:r w:rsidRPr="00077808">
        <w:rPr>
          <w:rFonts w:cs="Arial"/>
          <w:lang w:val="en-GB"/>
        </w:rPr>
        <w:tab/>
        <w:t xml:space="preserve"> (Nafta, Slovakia)</w:t>
      </w:r>
      <w:r w:rsidRPr="00077808">
        <w:rPr>
          <w:rFonts w:eastAsia="Times New Roman" w:cs="Arial"/>
          <w:color w:val="000000"/>
          <w:kern w:val="24"/>
          <w:lang w:eastAsia="fr-FR"/>
        </w:rPr>
        <w:t xml:space="preserve"> </w:t>
      </w:r>
    </w:p>
    <w:p w:rsidR="00B72E08" w:rsidRPr="006602FD" w:rsidRDefault="00B72E08" w:rsidP="00B72E08">
      <w:pPr>
        <w:spacing w:line="240" w:lineRule="auto"/>
        <w:jc w:val="center"/>
        <w:rPr>
          <w:rFonts w:cs="Arial"/>
          <w:lang w:val="en-GB"/>
        </w:rPr>
      </w:pPr>
      <w:r w:rsidRPr="006602FD">
        <w:rPr>
          <w:rFonts w:cs="Arial"/>
          <w:lang w:val="en-GB"/>
        </w:rPr>
        <w:t>Lilit Cota</w:t>
      </w:r>
      <w:r>
        <w:rPr>
          <w:rFonts w:cs="Arial"/>
          <w:lang w:val="en-GB"/>
        </w:rPr>
        <w:t xml:space="preserve"> (</w:t>
      </w:r>
      <w:r w:rsidRPr="006602FD">
        <w:rPr>
          <w:rFonts w:cs="Arial"/>
          <w:lang w:val="en-GB"/>
        </w:rPr>
        <w:t>INA</w:t>
      </w:r>
      <w:r>
        <w:rPr>
          <w:rFonts w:cs="Arial"/>
          <w:lang w:val="en-GB"/>
        </w:rPr>
        <w:t>,</w:t>
      </w:r>
      <w:r w:rsidRPr="006602FD">
        <w:rPr>
          <w:rFonts w:cs="Arial"/>
          <w:lang w:val="en-GB"/>
        </w:rPr>
        <w:t xml:space="preserve"> Croatia</w:t>
      </w:r>
      <w:r>
        <w:rPr>
          <w:rFonts w:cs="Arial"/>
          <w:lang w:val="en-GB"/>
        </w:rPr>
        <w:t>)</w:t>
      </w:r>
    </w:p>
    <w:p w:rsidR="006F649F" w:rsidRPr="006F649F" w:rsidRDefault="006F649F" w:rsidP="00B72E08">
      <w:pPr>
        <w:spacing w:line="240" w:lineRule="auto"/>
        <w:jc w:val="center"/>
        <w:rPr>
          <w:rFonts w:eastAsia="Times New Roman" w:cs="Arial"/>
          <w:kern w:val="24"/>
          <w:lang w:eastAsia="fr-FR"/>
        </w:rPr>
      </w:pPr>
      <w:r w:rsidRPr="006F649F">
        <w:rPr>
          <w:rFonts w:eastAsia="Times New Roman" w:cs="Arial"/>
          <w:kern w:val="24"/>
          <w:lang w:eastAsia="fr-FR"/>
        </w:rPr>
        <w:t>MontriSilpa-Archa (PTT, Thailand)</w:t>
      </w:r>
    </w:p>
    <w:p w:rsidR="00B72E08" w:rsidRPr="006602FD" w:rsidRDefault="00B72E08" w:rsidP="00B72E08">
      <w:pPr>
        <w:spacing w:line="240" w:lineRule="auto"/>
        <w:jc w:val="center"/>
        <w:rPr>
          <w:rFonts w:cs="Arial"/>
          <w:lang w:val="en-GB"/>
        </w:rPr>
      </w:pPr>
      <w:r w:rsidRPr="006602FD">
        <w:rPr>
          <w:rFonts w:cs="Arial"/>
          <w:lang w:val="en-GB"/>
        </w:rPr>
        <w:t>Peter Westhof</w:t>
      </w:r>
      <w:r w:rsidRPr="006602FD">
        <w:rPr>
          <w:rFonts w:cs="Arial"/>
          <w:lang w:val="en-GB"/>
        </w:rPr>
        <w:tab/>
      </w:r>
      <w:r>
        <w:rPr>
          <w:rFonts w:cs="Arial"/>
          <w:lang w:val="en-GB"/>
        </w:rPr>
        <w:t xml:space="preserve"> (</w:t>
      </w:r>
      <w:r w:rsidRPr="006602FD">
        <w:rPr>
          <w:rFonts w:cs="Arial"/>
          <w:lang w:val="en-GB"/>
        </w:rPr>
        <w:t>Wintershall</w:t>
      </w:r>
      <w:r>
        <w:rPr>
          <w:rFonts w:cs="Arial"/>
          <w:lang w:val="en-GB"/>
        </w:rPr>
        <w:t>,</w:t>
      </w:r>
      <w:r w:rsidRPr="006602FD">
        <w:rPr>
          <w:rFonts w:cs="Arial"/>
          <w:lang w:val="en-GB"/>
        </w:rPr>
        <w:t xml:space="preserve"> Germany</w:t>
      </w:r>
      <w:r>
        <w:rPr>
          <w:rFonts w:cs="Arial"/>
          <w:lang w:val="en-GB"/>
        </w:rPr>
        <w:t>)</w:t>
      </w:r>
    </w:p>
    <w:p w:rsidR="00B72E08" w:rsidRPr="00031AA5" w:rsidRDefault="00B72E08" w:rsidP="00B72E08">
      <w:pPr>
        <w:spacing w:line="240" w:lineRule="auto"/>
        <w:jc w:val="center"/>
        <w:rPr>
          <w:rFonts w:cs="Arial"/>
          <w:lang w:val="en-GB"/>
        </w:rPr>
      </w:pPr>
      <w:r>
        <w:rPr>
          <w:rFonts w:cs="Arial"/>
          <w:lang w:val="en-GB"/>
        </w:rPr>
        <w:t>Said Chelbeb</w:t>
      </w:r>
      <w:r w:rsidRPr="00031AA5">
        <w:rPr>
          <w:rFonts w:cs="Arial"/>
          <w:lang w:val="en-GB"/>
        </w:rPr>
        <w:t xml:space="preserve"> (</w:t>
      </w:r>
      <w:r>
        <w:rPr>
          <w:rFonts w:cs="Arial"/>
          <w:lang w:val="en-GB"/>
        </w:rPr>
        <w:t>Sonatrach</w:t>
      </w:r>
      <w:r w:rsidRPr="00031AA5">
        <w:rPr>
          <w:rFonts w:cs="Arial"/>
          <w:lang w:val="en-GB"/>
        </w:rPr>
        <w:t xml:space="preserve">, </w:t>
      </w:r>
      <w:r>
        <w:rPr>
          <w:rFonts w:cs="Arial"/>
          <w:lang w:val="en-GB"/>
        </w:rPr>
        <w:t>Algeria</w:t>
      </w:r>
      <w:r w:rsidRPr="00031AA5">
        <w:rPr>
          <w:rFonts w:cs="Arial"/>
          <w:lang w:val="en-GB"/>
        </w:rPr>
        <w:t>)</w:t>
      </w:r>
    </w:p>
    <w:p w:rsidR="00B72E08" w:rsidRPr="006602FD" w:rsidRDefault="00B72E08" w:rsidP="00B72E08">
      <w:pPr>
        <w:spacing w:line="240" w:lineRule="auto"/>
        <w:jc w:val="center"/>
        <w:rPr>
          <w:rFonts w:cs="Arial"/>
          <w:lang w:val="en-GB"/>
        </w:rPr>
      </w:pPr>
      <w:r w:rsidRPr="006602FD">
        <w:rPr>
          <w:rFonts w:cs="Arial"/>
          <w:lang w:val="en-GB"/>
        </w:rPr>
        <w:t>Shariq Hashmi</w:t>
      </w:r>
      <w:r>
        <w:rPr>
          <w:rFonts w:cs="Arial"/>
          <w:lang w:val="en-GB"/>
        </w:rPr>
        <w:t xml:space="preserve"> (</w:t>
      </w:r>
      <w:r w:rsidRPr="006602FD">
        <w:rPr>
          <w:rFonts w:cs="Arial"/>
          <w:lang w:val="en-GB"/>
        </w:rPr>
        <w:t>Pakistan Petroleum</w:t>
      </w:r>
      <w:r>
        <w:rPr>
          <w:rFonts w:cs="Arial"/>
          <w:lang w:val="en-GB"/>
        </w:rPr>
        <w:t xml:space="preserve">, </w:t>
      </w:r>
      <w:r w:rsidRPr="006602FD">
        <w:rPr>
          <w:rFonts w:cs="Arial"/>
          <w:lang w:val="en-GB"/>
        </w:rPr>
        <w:t>Pakistan</w:t>
      </w:r>
      <w:r>
        <w:rPr>
          <w:rFonts w:cs="Arial"/>
          <w:lang w:val="en-GB"/>
        </w:rPr>
        <w:t>)</w:t>
      </w:r>
    </w:p>
    <w:p w:rsidR="00B72E08" w:rsidRDefault="00B72E08" w:rsidP="00B72E08">
      <w:pPr>
        <w:spacing w:line="240" w:lineRule="auto"/>
        <w:jc w:val="center"/>
        <w:rPr>
          <w:rFonts w:cs="Arial"/>
          <w:lang w:val="en-GB"/>
        </w:rPr>
      </w:pPr>
      <w:r w:rsidRPr="006602FD">
        <w:rPr>
          <w:rFonts w:cs="Arial"/>
          <w:lang w:val="en-GB"/>
        </w:rPr>
        <w:t>Zafeer Hasan Khan</w:t>
      </w:r>
      <w:r>
        <w:rPr>
          <w:rFonts w:cs="Arial"/>
          <w:lang w:val="en-GB"/>
        </w:rPr>
        <w:t xml:space="preserve"> (</w:t>
      </w:r>
      <w:r w:rsidRPr="006602FD">
        <w:rPr>
          <w:rFonts w:cs="Arial"/>
          <w:lang w:val="en-GB"/>
        </w:rPr>
        <w:t>Pakistan Petroleum</w:t>
      </w:r>
      <w:r>
        <w:rPr>
          <w:rFonts w:cs="Arial"/>
          <w:lang w:val="en-GB"/>
        </w:rPr>
        <w:t xml:space="preserve">, </w:t>
      </w:r>
      <w:r w:rsidRPr="006602FD">
        <w:rPr>
          <w:rFonts w:cs="Arial"/>
          <w:lang w:val="en-GB"/>
        </w:rPr>
        <w:t>Pakistan</w:t>
      </w:r>
      <w:r>
        <w:rPr>
          <w:rFonts w:cs="Arial"/>
          <w:lang w:val="en-GB"/>
        </w:rPr>
        <w:t>)</w:t>
      </w:r>
    </w:p>
    <w:p w:rsidR="00B72E08" w:rsidRDefault="00B72E08" w:rsidP="00B72E08">
      <w:pPr>
        <w:spacing w:before="240"/>
        <w:jc w:val="center"/>
        <w:rPr>
          <w:rFonts w:cs="Arial"/>
          <w:b/>
          <w:lang w:val="en-GB"/>
        </w:rPr>
      </w:pPr>
    </w:p>
    <w:p w:rsidR="00B72E08" w:rsidRPr="00B72E08" w:rsidRDefault="00B72E08" w:rsidP="00B72E08">
      <w:pPr>
        <w:spacing w:before="240"/>
        <w:jc w:val="center"/>
        <w:rPr>
          <w:rFonts w:cs="Arial"/>
          <w:b/>
          <w:lang w:val="en-GB"/>
        </w:rPr>
      </w:pPr>
      <w:r w:rsidRPr="00B72E08">
        <w:rPr>
          <w:rFonts w:cs="Arial"/>
          <w:b/>
          <w:lang w:val="en-GB"/>
        </w:rPr>
        <w:t>Paris</w:t>
      </w:r>
    </w:p>
    <w:p w:rsidR="00B72E08" w:rsidRPr="00B72E08" w:rsidRDefault="00B72E08" w:rsidP="00B72E08">
      <w:pPr>
        <w:jc w:val="center"/>
        <w:rPr>
          <w:rFonts w:cs="Arial"/>
          <w:b/>
          <w:lang w:val="en-GB"/>
        </w:rPr>
      </w:pPr>
      <w:r w:rsidRPr="00B72E08">
        <w:rPr>
          <w:rFonts w:cs="Arial"/>
          <w:b/>
          <w:lang w:val="en-GB"/>
        </w:rPr>
        <w:t>June 2015</w:t>
      </w:r>
    </w:p>
    <w:p w:rsidR="00B72E08" w:rsidRPr="006602FD" w:rsidRDefault="00B72E08" w:rsidP="00B72E08">
      <w:pPr>
        <w:spacing w:line="240" w:lineRule="auto"/>
        <w:jc w:val="center"/>
        <w:rPr>
          <w:rFonts w:cs="Arial"/>
          <w:lang w:val="en-GB"/>
        </w:rPr>
      </w:pPr>
    </w:p>
    <w:p w:rsidR="009A15AC" w:rsidRPr="00371AAC" w:rsidRDefault="00371AAC" w:rsidP="00371AAC">
      <w:pPr>
        <w:jc w:val="center"/>
        <w:rPr>
          <w:b/>
          <w:sz w:val="28"/>
          <w:szCs w:val="28"/>
        </w:rPr>
      </w:pPr>
      <w:r w:rsidRPr="00371AAC">
        <w:rPr>
          <w:b/>
          <w:sz w:val="28"/>
          <w:szCs w:val="28"/>
        </w:rPr>
        <w:lastRenderedPageBreak/>
        <w:t>Table of Contents</w:t>
      </w:r>
    </w:p>
    <w:p w:rsidR="00371AAC" w:rsidRDefault="00371AAC" w:rsidP="00371AAC"/>
    <w:p w:rsidR="00EE6E7E" w:rsidRDefault="00D24DB8">
      <w:pPr>
        <w:pStyle w:val="TM1"/>
        <w:tabs>
          <w:tab w:val="left" w:pos="440"/>
          <w:tab w:val="right" w:leader="dot" w:pos="9061"/>
        </w:tabs>
        <w:rPr>
          <w:rFonts w:asciiTheme="minorHAnsi" w:eastAsiaTheme="minorEastAsia" w:hAnsiTheme="minorHAnsi"/>
          <w:noProof/>
          <w:lang w:val="fr-FR" w:eastAsia="fr-FR"/>
        </w:rPr>
      </w:pPr>
      <w:r>
        <w:rPr>
          <w:lang w:val="pt-BR"/>
        </w:rPr>
        <w:fldChar w:fldCharType="begin"/>
      </w:r>
      <w:r w:rsidR="00371AAC">
        <w:rPr>
          <w:lang w:val="pt-BR"/>
        </w:rPr>
        <w:instrText xml:space="preserve"> TOC \o "1-3" \h \z \u </w:instrText>
      </w:r>
      <w:r>
        <w:rPr>
          <w:lang w:val="pt-BR"/>
        </w:rPr>
        <w:fldChar w:fldCharType="separate"/>
      </w:r>
      <w:hyperlink w:anchor="_Toc367360711" w:history="1">
        <w:r w:rsidR="00EE6E7E" w:rsidRPr="001E46EF">
          <w:rPr>
            <w:rStyle w:val="Lienhypertexte"/>
            <w:noProof/>
          </w:rPr>
          <w:t>2</w:t>
        </w:r>
        <w:r w:rsidR="00EE6E7E">
          <w:rPr>
            <w:rFonts w:asciiTheme="minorHAnsi" w:eastAsiaTheme="minorEastAsia" w:hAnsiTheme="minorHAnsi"/>
            <w:noProof/>
            <w:lang w:val="fr-FR" w:eastAsia="fr-FR"/>
          </w:rPr>
          <w:tab/>
        </w:r>
        <w:r w:rsidR="00EE6E7E" w:rsidRPr="001E46EF">
          <w:rPr>
            <w:rStyle w:val="Lienhypertexte"/>
            <w:noProof/>
          </w:rPr>
          <w:t>ASSESSMENT OF GLOBAL RESERVES AND RESOURCES</w:t>
        </w:r>
        <w:r w:rsidR="00EE6E7E">
          <w:rPr>
            <w:noProof/>
            <w:webHidden/>
          </w:rPr>
          <w:tab/>
        </w:r>
        <w:r w:rsidR="00EE6E7E">
          <w:rPr>
            <w:noProof/>
            <w:webHidden/>
          </w:rPr>
          <w:fldChar w:fldCharType="begin"/>
        </w:r>
        <w:r w:rsidR="00EE6E7E">
          <w:rPr>
            <w:noProof/>
            <w:webHidden/>
          </w:rPr>
          <w:instrText xml:space="preserve"> PAGEREF _Toc367360711 \h </w:instrText>
        </w:r>
        <w:r w:rsidR="00EE6E7E">
          <w:rPr>
            <w:noProof/>
            <w:webHidden/>
          </w:rPr>
        </w:r>
        <w:r w:rsidR="00EE6E7E">
          <w:rPr>
            <w:noProof/>
            <w:webHidden/>
          </w:rPr>
          <w:fldChar w:fldCharType="separate"/>
        </w:r>
        <w:r w:rsidR="00EE6E7E">
          <w:rPr>
            <w:noProof/>
            <w:webHidden/>
          </w:rPr>
          <w:t>2.3</w:t>
        </w:r>
        <w:r w:rsidR="00EE6E7E">
          <w:rPr>
            <w:noProof/>
            <w:webHidden/>
          </w:rPr>
          <w:fldChar w:fldCharType="end"/>
        </w:r>
      </w:hyperlink>
    </w:p>
    <w:p w:rsidR="00EE6E7E" w:rsidRDefault="00EE6E7E">
      <w:pPr>
        <w:pStyle w:val="TM2"/>
        <w:tabs>
          <w:tab w:val="right" w:leader="dot" w:pos="9061"/>
        </w:tabs>
        <w:rPr>
          <w:rFonts w:asciiTheme="minorHAnsi" w:eastAsiaTheme="minorEastAsia" w:hAnsiTheme="minorHAnsi"/>
          <w:noProof/>
          <w:lang w:val="fr-FR" w:eastAsia="fr-FR"/>
        </w:rPr>
      </w:pPr>
      <w:hyperlink w:anchor="_Toc367360712" w:history="1">
        <w:r w:rsidRPr="001E46EF">
          <w:rPr>
            <w:rStyle w:val="Lienhypertexte"/>
            <w:noProof/>
          </w:rPr>
          <w:t>Executive Summary</w:t>
        </w:r>
        <w:r>
          <w:rPr>
            <w:noProof/>
            <w:webHidden/>
          </w:rPr>
          <w:tab/>
        </w:r>
        <w:r>
          <w:rPr>
            <w:noProof/>
            <w:webHidden/>
          </w:rPr>
          <w:fldChar w:fldCharType="begin"/>
        </w:r>
        <w:r>
          <w:rPr>
            <w:noProof/>
            <w:webHidden/>
          </w:rPr>
          <w:instrText xml:space="preserve"> PAGEREF _Toc367360712 \h </w:instrText>
        </w:r>
        <w:r>
          <w:rPr>
            <w:noProof/>
            <w:webHidden/>
          </w:rPr>
        </w:r>
        <w:r>
          <w:rPr>
            <w:noProof/>
            <w:webHidden/>
          </w:rPr>
          <w:fldChar w:fldCharType="separate"/>
        </w:r>
        <w:r>
          <w:rPr>
            <w:noProof/>
            <w:webHidden/>
          </w:rPr>
          <w:t>2.3</w:t>
        </w:r>
        <w:r>
          <w:rPr>
            <w:noProof/>
            <w:webHidden/>
          </w:rPr>
          <w:fldChar w:fldCharType="end"/>
        </w:r>
      </w:hyperlink>
    </w:p>
    <w:p w:rsidR="00EE6E7E" w:rsidRDefault="00EE6E7E">
      <w:pPr>
        <w:pStyle w:val="TM2"/>
        <w:tabs>
          <w:tab w:val="left" w:pos="880"/>
          <w:tab w:val="right" w:leader="dot" w:pos="9061"/>
        </w:tabs>
        <w:rPr>
          <w:rFonts w:asciiTheme="minorHAnsi" w:eastAsiaTheme="minorEastAsia" w:hAnsiTheme="minorHAnsi"/>
          <w:noProof/>
          <w:lang w:val="fr-FR" w:eastAsia="fr-FR"/>
        </w:rPr>
      </w:pPr>
      <w:hyperlink w:anchor="_Toc367360713" w:history="1">
        <w:r w:rsidRPr="001E46EF">
          <w:rPr>
            <w:rStyle w:val="Lienhypertexte"/>
            <w:noProof/>
          </w:rPr>
          <w:t>2.1</w:t>
        </w:r>
        <w:r>
          <w:rPr>
            <w:rFonts w:asciiTheme="minorHAnsi" w:eastAsiaTheme="minorEastAsia" w:hAnsiTheme="minorHAnsi"/>
            <w:noProof/>
            <w:lang w:val="fr-FR" w:eastAsia="fr-FR"/>
          </w:rPr>
          <w:tab/>
        </w:r>
        <w:r w:rsidRPr="001E46EF">
          <w:rPr>
            <w:rStyle w:val="Lienhypertexte"/>
            <w:noProof/>
          </w:rPr>
          <w:t>Petroleum Resources Classification and Definitions</w:t>
        </w:r>
        <w:r>
          <w:rPr>
            <w:noProof/>
            <w:webHidden/>
          </w:rPr>
          <w:tab/>
        </w:r>
        <w:r>
          <w:rPr>
            <w:noProof/>
            <w:webHidden/>
          </w:rPr>
          <w:fldChar w:fldCharType="begin"/>
        </w:r>
        <w:r>
          <w:rPr>
            <w:noProof/>
            <w:webHidden/>
          </w:rPr>
          <w:instrText xml:space="preserve"> PAGEREF _Toc367360713 \h </w:instrText>
        </w:r>
        <w:r>
          <w:rPr>
            <w:noProof/>
            <w:webHidden/>
          </w:rPr>
        </w:r>
        <w:r>
          <w:rPr>
            <w:noProof/>
            <w:webHidden/>
          </w:rPr>
          <w:fldChar w:fldCharType="separate"/>
        </w:r>
        <w:r>
          <w:rPr>
            <w:noProof/>
            <w:webHidden/>
          </w:rPr>
          <w:t>2.5</w:t>
        </w:r>
        <w:r>
          <w:rPr>
            <w:noProof/>
            <w:webHidden/>
          </w:rPr>
          <w:fldChar w:fldCharType="end"/>
        </w:r>
      </w:hyperlink>
    </w:p>
    <w:p w:rsidR="00EE6E7E" w:rsidRDefault="00EE6E7E">
      <w:pPr>
        <w:pStyle w:val="TM2"/>
        <w:tabs>
          <w:tab w:val="left" w:pos="880"/>
          <w:tab w:val="right" w:leader="dot" w:pos="9061"/>
        </w:tabs>
        <w:rPr>
          <w:rFonts w:asciiTheme="minorHAnsi" w:eastAsiaTheme="minorEastAsia" w:hAnsiTheme="minorHAnsi"/>
          <w:noProof/>
          <w:lang w:val="fr-FR" w:eastAsia="fr-FR"/>
        </w:rPr>
      </w:pPr>
      <w:hyperlink w:anchor="_Toc367360714" w:history="1">
        <w:r w:rsidRPr="001E46EF">
          <w:rPr>
            <w:rStyle w:val="Lienhypertexte"/>
            <w:noProof/>
          </w:rPr>
          <w:t>2.2</w:t>
        </w:r>
        <w:r>
          <w:rPr>
            <w:rFonts w:asciiTheme="minorHAnsi" w:eastAsiaTheme="minorEastAsia" w:hAnsiTheme="minorHAnsi"/>
            <w:noProof/>
            <w:lang w:val="fr-FR" w:eastAsia="fr-FR"/>
          </w:rPr>
          <w:tab/>
        </w:r>
        <w:r w:rsidRPr="001E46EF">
          <w:rPr>
            <w:rStyle w:val="Lienhypertexte"/>
            <w:noProof/>
          </w:rPr>
          <w:t>Conventional Gas: Remaining reserve and resource assessment</w:t>
        </w:r>
        <w:r>
          <w:rPr>
            <w:noProof/>
            <w:webHidden/>
          </w:rPr>
          <w:tab/>
        </w:r>
        <w:r>
          <w:rPr>
            <w:noProof/>
            <w:webHidden/>
          </w:rPr>
          <w:fldChar w:fldCharType="begin"/>
        </w:r>
        <w:r>
          <w:rPr>
            <w:noProof/>
            <w:webHidden/>
          </w:rPr>
          <w:instrText xml:space="preserve"> PAGEREF _Toc367360714 \h </w:instrText>
        </w:r>
        <w:r>
          <w:rPr>
            <w:noProof/>
            <w:webHidden/>
          </w:rPr>
        </w:r>
        <w:r>
          <w:rPr>
            <w:noProof/>
            <w:webHidden/>
          </w:rPr>
          <w:fldChar w:fldCharType="separate"/>
        </w:r>
        <w:r>
          <w:rPr>
            <w:noProof/>
            <w:webHidden/>
          </w:rPr>
          <w:t>2.8</w:t>
        </w:r>
        <w:r>
          <w:rPr>
            <w:noProof/>
            <w:webHidden/>
          </w:rPr>
          <w:fldChar w:fldCharType="end"/>
        </w:r>
      </w:hyperlink>
    </w:p>
    <w:p w:rsidR="00EE6E7E" w:rsidRDefault="00EE6E7E">
      <w:pPr>
        <w:pStyle w:val="TM3"/>
        <w:tabs>
          <w:tab w:val="left" w:pos="1320"/>
          <w:tab w:val="right" w:leader="dot" w:pos="9061"/>
        </w:tabs>
        <w:rPr>
          <w:rFonts w:asciiTheme="minorHAnsi" w:eastAsiaTheme="minorEastAsia" w:hAnsiTheme="minorHAnsi"/>
          <w:noProof/>
          <w:lang w:val="fr-FR" w:eastAsia="fr-FR"/>
        </w:rPr>
      </w:pPr>
      <w:hyperlink w:anchor="_Toc367360715" w:history="1">
        <w:r w:rsidRPr="001E46EF">
          <w:rPr>
            <w:rStyle w:val="Lienhypertexte"/>
            <w:noProof/>
          </w:rPr>
          <w:t>2.2.1</w:t>
        </w:r>
        <w:r>
          <w:rPr>
            <w:rFonts w:asciiTheme="minorHAnsi" w:eastAsiaTheme="minorEastAsia" w:hAnsiTheme="minorHAnsi"/>
            <w:noProof/>
            <w:lang w:val="fr-FR" w:eastAsia="fr-FR"/>
          </w:rPr>
          <w:tab/>
        </w:r>
        <w:r w:rsidRPr="001E46EF">
          <w:rPr>
            <w:rStyle w:val="Lienhypertexte"/>
            <w:noProof/>
          </w:rPr>
          <w:t>Definitions &amp;</w:t>
        </w:r>
        <w:r w:rsidRPr="001E46EF">
          <w:rPr>
            <w:rStyle w:val="Lienhypertexte"/>
            <w:noProof/>
            <w:lang w:val="en-GB"/>
          </w:rPr>
          <w:t xml:space="preserve"> characteristics</w:t>
        </w:r>
        <w:r>
          <w:rPr>
            <w:noProof/>
            <w:webHidden/>
          </w:rPr>
          <w:tab/>
        </w:r>
        <w:r>
          <w:rPr>
            <w:noProof/>
            <w:webHidden/>
          </w:rPr>
          <w:fldChar w:fldCharType="begin"/>
        </w:r>
        <w:r>
          <w:rPr>
            <w:noProof/>
            <w:webHidden/>
          </w:rPr>
          <w:instrText xml:space="preserve"> PAGEREF _Toc367360715 \h </w:instrText>
        </w:r>
        <w:r>
          <w:rPr>
            <w:noProof/>
            <w:webHidden/>
          </w:rPr>
        </w:r>
        <w:r>
          <w:rPr>
            <w:noProof/>
            <w:webHidden/>
          </w:rPr>
          <w:fldChar w:fldCharType="separate"/>
        </w:r>
        <w:r>
          <w:rPr>
            <w:noProof/>
            <w:webHidden/>
          </w:rPr>
          <w:t>2.8</w:t>
        </w:r>
        <w:r>
          <w:rPr>
            <w:noProof/>
            <w:webHidden/>
          </w:rPr>
          <w:fldChar w:fldCharType="end"/>
        </w:r>
      </w:hyperlink>
    </w:p>
    <w:p w:rsidR="00EE6E7E" w:rsidRDefault="00EE6E7E">
      <w:pPr>
        <w:pStyle w:val="TM3"/>
        <w:tabs>
          <w:tab w:val="left" w:pos="1320"/>
          <w:tab w:val="right" w:leader="dot" w:pos="9061"/>
        </w:tabs>
        <w:rPr>
          <w:rFonts w:asciiTheme="minorHAnsi" w:eastAsiaTheme="minorEastAsia" w:hAnsiTheme="minorHAnsi"/>
          <w:noProof/>
          <w:lang w:val="fr-FR" w:eastAsia="fr-FR"/>
        </w:rPr>
      </w:pPr>
      <w:hyperlink w:anchor="_Toc367360716" w:history="1">
        <w:r w:rsidRPr="001E46EF">
          <w:rPr>
            <w:rStyle w:val="Lienhypertexte"/>
            <w:noProof/>
          </w:rPr>
          <w:t>2.2.2</w:t>
        </w:r>
        <w:r>
          <w:rPr>
            <w:rFonts w:asciiTheme="minorHAnsi" w:eastAsiaTheme="minorEastAsia" w:hAnsiTheme="minorHAnsi"/>
            <w:noProof/>
            <w:lang w:val="fr-FR" w:eastAsia="fr-FR"/>
          </w:rPr>
          <w:tab/>
        </w:r>
        <w:r w:rsidRPr="001E46EF">
          <w:rPr>
            <w:rStyle w:val="Lienhypertexte"/>
            <w:noProof/>
            <w:lang w:val="en-GB"/>
          </w:rPr>
          <w:t>The global potential of Conventional gas</w:t>
        </w:r>
        <w:r>
          <w:rPr>
            <w:noProof/>
            <w:webHidden/>
          </w:rPr>
          <w:tab/>
        </w:r>
        <w:r>
          <w:rPr>
            <w:noProof/>
            <w:webHidden/>
          </w:rPr>
          <w:fldChar w:fldCharType="begin"/>
        </w:r>
        <w:r>
          <w:rPr>
            <w:noProof/>
            <w:webHidden/>
          </w:rPr>
          <w:instrText xml:space="preserve"> PAGEREF _Toc367360716 \h </w:instrText>
        </w:r>
        <w:r>
          <w:rPr>
            <w:noProof/>
            <w:webHidden/>
          </w:rPr>
        </w:r>
        <w:r>
          <w:rPr>
            <w:noProof/>
            <w:webHidden/>
          </w:rPr>
          <w:fldChar w:fldCharType="separate"/>
        </w:r>
        <w:r>
          <w:rPr>
            <w:noProof/>
            <w:webHidden/>
          </w:rPr>
          <w:t>2.8</w:t>
        </w:r>
        <w:r>
          <w:rPr>
            <w:noProof/>
            <w:webHidden/>
          </w:rPr>
          <w:fldChar w:fldCharType="end"/>
        </w:r>
      </w:hyperlink>
    </w:p>
    <w:p w:rsidR="00EE6E7E" w:rsidRDefault="00EE6E7E">
      <w:pPr>
        <w:pStyle w:val="TM2"/>
        <w:tabs>
          <w:tab w:val="left" w:pos="880"/>
          <w:tab w:val="right" w:leader="dot" w:pos="9061"/>
        </w:tabs>
        <w:rPr>
          <w:rFonts w:asciiTheme="minorHAnsi" w:eastAsiaTheme="minorEastAsia" w:hAnsiTheme="minorHAnsi"/>
          <w:noProof/>
          <w:lang w:val="fr-FR" w:eastAsia="fr-FR"/>
        </w:rPr>
      </w:pPr>
      <w:hyperlink w:anchor="_Toc367360717" w:history="1">
        <w:r w:rsidRPr="001E46EF">
          <w:rPr>
            <w:rStyle w:val="Lienhypertexte"/>
            <w:noProof/>
          </w:rPr>
          <w:t>2.3</w:t>
        </w:r>
        <w:r>
          <w:rPr>
            <w:rFonts w:asciiTheme="minorHAnsi" w:eastAsiaTheme="minorEastAsia" w:hAnsiTheme="minorHAnsi"/>
            <w:noProof/>
            <w:lang w:val="fr-FR" w:eastAsia="fr-FR"/>
          </w:rPr>
          <w:tab/>
        </w:r>
        <w:r w:rsidRPr="001E46EF">
          <w:rPr>
            <w:rStyle w:val="Lienhypertexte"/>
            <w:noProof/>
          </w:rPr>
          <w:t>Unconventional gases (tight, shale gas, CBM, hydrates): reserve and resource assessment</w:t>
        </w:r>
        <w:r>
          <w:rPr>
            <w:noProof/>
            <w:webHidden/>
          </w:rPr>
          <w:tab/>
        </w:r>
        <w:r>
          <w:rPr>
            <w:noProof/>
            <w:webHidden/>
          </w:rPr>
          <w:fldChar w:fldCharType="begin"/>
        </w:r>
        <w:r>
          <w:rPr>
            <w:noProof/>
            <w:webHidden/>
          </w:rPr>
          <w:instrText xml:space="preserve"> PAGEREF _Toc367360717 \h </w:instrText>
        </w:r>
        <w:r>
          <w:rPr>
            <w:noProof/>
            <w:webHidden/>
          </w:rPr>
        </w:r>
        <w:r>
          <w:rPr>
            <w:noProof/>
            <w:webHidden/>
          </w:rPr>
          <w:fldChar w:fldCharType="separate"/>
        </w:r>
        <w:r>
          <w:rPr>
            <w:noProof/>
            <w:webHidden/>
          </w:rPr>
          <w:t>2.8</w:t>
        </w:r>
        <w:r>
          <w:rPr>
            <w:noProof/>
            <w:webHidden/>
          </w:rPr>
          <w:fldChar w:fldCharType="end"/>
        </w:r>
      </w:hyperlink>
    </w:p>
    <w:p w:rsidR="00EE6E7E" w:rsidRDefault="00EE6E7E">
      <w:pPr>
        <w:pStyle w:val="TM3"/>
        <w:tabs>
          <w:tab w:val="right" w:leader="dot" w:pos="9061"/>
        </w:tabs>
        <w:rPr>
          <w:rFonts w:asciiTheme="minorHAnsi" w:eastAsiaTheme="minorEastAsia" w:hAnsiTheme="minorHAnsi"/>
          <w:noProof/>
          <w:lang w:val="fr-FR" w:eastAsia="fr-FR"/>
        </w:rPr>
      </w:pPr>
      <w:hyperlink w:anchor="_Toc367360718" w:history="1">
        <w:r w:rsidRPr="001E46EF">
          <w:rPr>
            <w:rStyle w:val="Lienhypertexte"/>
            <w:noProof/>
          </w:rPr>
          <w:t>Definitions</w:t>
        </w:r>
        <w:r>
          <w:rPr>
            <w:noProof/>
            <w:webHidden/>
          </w:rPr>
          <w:tab/>
        </w:r>
        <w:r>
          <w:rPr>
            <w:noProof/>
            <w:webHidden/>
          </w:rPr>
          <w:fldChar w:fldCharType="begin"/>
        </w:r>
        <w:r>
          <w:rPr>
            <w:noProof/>
            <w:webHidden/>
          </w:rPr>
          <w:instrText xml:space="preserve"> PAGEREF _Toc367360718 \h </w:instrText>
        </w:r>
        <w:r>
          <w:rPr>
            <w:noProof/>
            <w:webHidden/>
          </w:rPr>
        </w:r>
        <w:r>
          <w:rPr>
            <w:noProof/>
            <w:webHidden/>
          </w:rPr>
          <w:fldChar w:fldCharType="separate"/>
        </w:r>
        <w:r>
          <w:rPr>
            <w:noProof/>
            <w:webHidden/>
          </w:rPr>
          <w:t>2.8</w:t>
        </w:r>
        <w:r>
          <w:rPr>
            <w:noProof/>
            <w:webHidden/>
          </w:rPr>
          <w:fldChar w:fldCharType="end"/>
        </w:r>
      </w:hyperlink>
    </w:p>
    <w:p w:rsidR="00EE6E7E" w:rsidRDefault="00EE6E7E">
      <w:pPr>
        <w:pStyle w:val="TM3"/>
        <w:tabs>
          <w:tab w:val="left" w:pos="1320"/>
          <w:tab w:val="right" w:leader="dot" w:pos="9061"/>
        </w:tabs>
        <w:rPr>
          <w:rFonts w:asciiTheme="minorHAnsi" w:eastAsiaTheme="minorEastAsia" w:hAnsiTheme="minorHAnsi"/>
          <w:noProof/>
          <w:lang w:val="fr-FR" w:eastAsia="fr-FR"/>
        </w:rPr>
      </w:pPr>
      <w:hyperlink w:anchor="_Toc367360719" w:history="1">
        <w:r w:rsidRPr="001E46EF">
          <w:rPr>
            <w:rStyle w:val="Lienhypertexte"/>
            <w:noProof/>
          </w:rPr>
          <w:t>2.3.1</w:t>
        </w:r>
        <w:r>
          <w:rPr>
            <w:rFonts w:asciiTheme="minorHAnsi" w:eastAsiaTheme="minorEastAsia" w:hAnsiTheme="minorHAnsi"/>
            <w:noProof/>
            <w:lang w:val="fr-FR" w:eastAsia="fr-FR"/>
          </w:rPr>
          <w:tab/>
        </w:r>
        <w:r w:rsidRPr="001E46EF">
          <w:rPr>
            <w:rStyle w:val="Lienhypertexte"/>
            <w:noProof/>
          </w:rPr>
          <w:t>Tight gas</w:t>
        </w:r>
        <w:r>
          <w:rPr>
            <w:noProof/>
            <w:webHidden/>
          </w:rPr>
          <w:tab/>
        </w:r>
        <w:r>
          <w:rPr>
            <w:noProof/>
            <w:webHidden/>
          </w:rPr>
          <w:fldChar w:fldCharType="begin"/>
        </w:r>
        <w:r>
          <w:rPr>
            <w:noProof/>
            <w:webHidden/>
          </w:rPr>
          <w:instrText xml:space="preserve"> PAGEREF _Toc367360719 \h </w:instrText>
        </w:r>
        <w:r>
          <w:rPr>
            <w:noProof/>
            <w:webHidden/>
          </w:rPr>
        </w:r>
        <w:r>
          <w:rPr>
            <w:noProof/>
            <w:webHidden/>
          </w:rPr>
          <w:fldChar w:fldCharType="separate"/>
        </w:r>
        <w:r>
          <w:rPr>
            <w:noProof/>
            <w:webHidden/>
          </w:rPr>
          <w:t>2.8</w:t>
        </w:r>
        <w:r>
          <w:rPr>
            <w:noProof/>
            <w:webHidden/>
          </w:rPr>
          <w:fldChar w:fldCharType="end"/>
        </w:r>
      </w:hyperlink>
    </w:p>
    <w:p w:rsidR="00EE6E7E" w:rsidRDefault="00EE6E7E">
      <w:pPr>
        <w:pStyle w:val="TM3"/>
        <w:tabs>
          <w:tab w:val="left" w:pos="1320"/>
          <w:tab w:val="right" w:leader="dot" w:pos="9061"/>
        </w:tabs>
        <w:rPr>
          <w:rFonts w:asciiTheme="minorHAnsi" w:eastAsiaTheme="minorEastAsia" w:hAnsiTheme="minorHAnsi"/>
          <w:noProof/>
          <w:lang w:val="fr-FR" w:eastAsia="fr-FR"/>
        </w:rPr>
      </w:pPr>
      <w:hyperlink w:anchor="_Toc367360720" w:history="1">
        <w:r w:rsidRPr="001E46EF">
          <w:rPr>
            <w:rStyle w:val="Lienhypertexte"/>
            <w:noProof/>
          </w:rPr>
          <w:t>2.3.2</w:t>
        </w:r>
        <w:r>
          <w:rPr>
            <w:rFonts w:asciiTheme="minorHAnsi" w:eastAsiaTheme="minorEastAsia" w:hAnsiTheme="minorHAnsi"/>
            <w:noProof/>
            <w:lang w:val="fr-FR" w:eastAsia="fr-FR"/>
          </w:rPr>
          <w:tab/>
        </w:r>
        <w:r w:rsidRPr="001E46EF">
          <w:rPr>
            <w:rStyle w:val="Lienhypertexte"/>
            <w:noProof/>
          </w:rPr>
          <w:t>Shale Gas</w:t>
        </w:r>
        <w:r>
          <w:rPr>
            <w:noProof/>
            <w:webHidden/>
          </w:rPr>
          <w:tab/>
        </w:r>
        <w:r>
          <w:rPr>
            <w:noProof/>
            <w:webHidden/>
          </w:rPr>
          <w:fldChar w:fldCharType="begin"/>
        </w:r>
        <w:r>
          <w:rPr>
            <w:noProof/>
            <w:webHidden/>
          </w:rPr>
          <w:instrText xml:space="preserve"> PAGEREF _Toc367360720 \h </w:instrText>
        </w:r>
        <w:r>
          <w:rPr>
            <w:noProof/>
            <w:webHidden/>
          </w:rPr>
        </w:r>
        <w:r>
          <w:rPr>
            <w:noProof/>
            <w:webHidden/>
          </w:rPr>
          <w:fldChar w:fldCharType="separate"/>
        </w:r>
        <w:r>
          <w:rPr>
            <w:noProof/>
            <w:webHidden/>
          </w:rPr>
          <w:t>2.9</w:t>
        </w:r>
        <w:r>
          <w:rPr>
            <w:noProof/>
            <w:webHidden/>
          </w:rPr>
          <w:fldChar w:fldCharType="end"/>
        </w:r>
      </w:hyperlink>
    </w:p>
    <w:p w:rsidR="00EE6E7E" w:rsidRDefault="00EE6E7E">
      <w:pPr>
        <w:pStyle w:val="TM3"/>
        <w:tabs>
          <w:tab w:val="left" w:pos="1320"/>
          <w:tab w:val="right" w:leader="dot" w:pos="9061"/>
        </w:tabs>
        <w:rPr>
          <w:rFonts w:asciiTheme="minorHAnsi" w:eastAsiaTheme="minorEastAsia" w:hAnsiTheme="minorHAnsi"/>
          <w:noProof/>
          <w:lang w:val="fr-FR" w:eastAsia="fr-FR"/>
        </w:rPr>
      </w:pPr>
      <w:hyperlink w:anchor="_Toc367360721" w:history="1">
        <w:r w:rsidRPr="001E46EF">
          <w:rPr>
            <w:rStyle w:val="Lienhypertexte"/>
            <w:noProof/>
          </w:rPr>
          <w:t>2.3.3</w:t>
        </w:r>
        <w:r>
          <w:rPr>
            <w:rFonts w:asciiTheme="minorHAnsi" w:eastAsiaTheme="minorEastAsia" w:hAnsiTheme="minorHAnsi"/>
            <w:noProof/>
            <w:lang w:val="fr-FR" w:eastAsia="fr-FR"/>
          </w:rPr>
          <w:tab/>
        </w:r>
        <w:r w:rsidRPr="001E46EF">
          <w:rPr>
            <w:rStyle w:val="Lienhypertexte"/>
            <w:noProof/>
          </w:rPr>
          <w:t>CBM</w:t>
        </w:r>
        <w:r>
          <w:rPr>
            <w:noProof/>
            <w:webHidden/>
          </w:rPr>
          <w:tab/>
        </w:r>
        <w:r>
          <w:rPr>
            <w:noProof/>
            <w:webHidden/>
          </w:rPr>
          <w:fldChar w:fldCharType="begin"/>
        </w:r>
        <w:r>
          <w:rPr>
            <w:noProof/>
            <w:webHidden/>
          </w:rPr>
          <w:instrText xml:space="preserve"> PAGEREF _Toc367360721 \h </w:instrText>
        </w:r>
        <w:r>
          <w:rPr>
            <w:noProof/>
            <w:webHidden/>
          </w:rPr>
        </w:r>
        <w:r>
          <w:rPr>
            <w:noProof/>
            <w:webHidden/>
          </w:rPr>
          <w:fldChar w:fldCharType="separate"/>
        </w:r>
        <w:r>
          <w:rPr>
            <w:noProof/>
            <w:webHidden/>
          </w:rPr>
          <w:t>2.10</w:t>
        </w:r>
        <w:r>
          <w:rPr>
            <w:noProof/>
            <w:webHidden/>
          </w:rPr>
          <w:fldChar w:fldCharType="end"/>
        </w:r>
      </w:hyperlink>
    </w:p>
    <w:p w:rsidR="00EE6E7E" w:rsidRDefault="00EE6E7E">
      <w:pPr>
        <w:pStyle w:val="TM3"/>
        <w:tabs>
          <w:tab w:val="left" w:pos="1320"/>
          <w:tab w:val="right" w:leader="dot" w:pos="9061"/>
        </w:tabs>
        <w:rPr>
          <w:rFonts w:asciiTheme="minorHAnsi" w:eastAsiaTheme="minorEastAsia" w:hAnsiTheme="minorHAnsi"/>
          <w:noProof/>
          <w:lang w:val="fr-FR" w:eastAsia="fr-FR"/>
        </w:rPr>
      </w:pPr>
      <w:hyperlink w:anchor="_Toc367360722" w:history="1">
        <w:r w:rsidRPr="001E46EF">
          <w:rPr>
            <w:rStyle w:val="Lienhypertexte"/>
            <w:noProof/>
          </w:rPr>
          <w:t>2.3.4</w:t>
        </w:r>
        <w:r>
          <w:rPr>
            <w:rFonts w:asciiTheme="minorHAnsi" w:eastAsiaTheme="minorEastAsia" w:hAnsiTheme="minorHAnsi"/>
            <w:noProof/>
            <w:lang w:val="fr-FR" w:eastAsia="fr-FR"/>
          </w:rPr>
          <w:tab/>
        </w:r>
        <w:r w:rsidRPr="001E46EF">
          <w:rPr>
            <w:rStyle w:val="Lienhypertexte"/>
            <w:noProof/>
          </w:rPr>
          <w:t>Gas Hydrates</w:t>
        </w:r>
        <w:r>
          <w:rPr>
            <w:noProof/>
            <w:webHidden/>
          </w:rPr>
          <w:tab/>
        </w:r>
        <w:r>
          <w:rPr>
            <w:noProof/>
            <w:webHidden/>
          </w:rPr>
          <w:fldChar w:fldCharType="begin"/>
        </w:r>
        <w:r>
          <w:rPr>
            <w:noProof/>
            <w:webHidden/>
          </w:rPr>
          <w:instrText xml:space="preserve"> PAGEREF _Toc367360722 \h </w:instrText>
        </w:r>
        <w:r>
          <w:rPr>
            <w:noProof/>
            <w:webHidden/>
          </w:rPr>
        </w:r>
        <w:r>
          <w:rPr>
            <w:noProof/>
            <w:webHidden/>
          </w:rPr>
          <w:fldChar w:fldCharType="separate"/>
        </w:r>
        <w:r>
          <w:rPr>
            <w:noProof/>
            <w:webHidden/>
          </w:rPr>
          <w:t>2.12</w:t>
        </w:r>
        <w:r>
          <w:rPr>
            <w:noProof/>
            <w:webHidden/>
          </w:rPr>
          <w:fldChar w:fldCharType="end"/>
        </w:r>
      </w:hyperlink>
    </w:p>
    <w:p w:rsidR="00EE6E7E" w:rsidRDefault="00EE6E7E">
      <w:pPr>
        <w:pStyle w:val="TM2"/>
        <w:tabs>
          <w:tab w:val="left" w:pos="880"/>
          <w:tab w:val="right" w:leader="dot" w:pos="9061"/>
        </w:tabs>
        <w:rPr>
          <w:rFonts w:asciiTheme="minorHAnsi" w:eastAsiaTheme="minorEastAsia" w:hAnsiTheme="minorHAnsi"/>
          <w:noProof/>
          <w:lang w:val="fr-FR" w:eastAsia="fr-FR"/>
        </w:rPr>
      </w:pPr>
      <w:hyperlink w:anchor="_Toc367360723" w:history="1">
        <w:r w:rsidRPr="001E46EF">
          <w:rPr>
            <w:rStyle w:val="Lienhypertexte"/>
            <w:noProof/>
          </w:rPr>
          <w:t>2.4</w:t>
        </w:r>
        <w:r>
          <w:rPr>
            <w:rFonts w:asciiTheme="minorHAnsi" w:eastAsiaTheme="minorEastAsia" w:hAnsiTheme="minorHAnsi"/>
            <w:noProof/>
            <w:lang w:val="fr-FR" w:eastAsia="fr-FR"/>
          </w:rPr>
          <w:tab/>
        </w:r>
        <w:r w:rsidRPr="001E46EF">
          <w:rPr>
            <w:rStyle w:val="Lienhypertexte"/>
            <w:noProof/>
          </w:rPr>
          <w:t>Assessment of gas flaring: initiatives for reduction and enhancing supply</w:t>
        </w:r>
        <w:r>
          <w:rPr>
            <w:noProof/>
            <w:webHidden/>
          </w:rPr>
          <w:tab/>
        </w:r>
        <w:r>
          <w:rPr>
            <w:noProof/>
            <w:webHidden/>
          </w:rPr>
          <w:fldChar w:fldCharType="begin"/>
        </w:r>
        <w:r>
          <w:rPr>
            <w:noProof/>
            <w:webHidden/>
          </w:rPr>
          <w:instrText xml:space="preserve"> PAGEREF _Toc367360723 \h </w:instrText>
        </w:r>
        <w:r>
          <w:rPr>
            <w:noProof/>
            <w:webHidden/>
          </w:rPr>
        </w:r>
        <w:r>
          <w:rPr>
            <w:noProof/>
            <w:webHidden/>
          </w:rPr>
          <w:fldChar w:fldCharType="separate"/>
        </w:r>
        <w:r>
          <w:rPr>
            <w:noProof/>
            <w:webHidden/>
          </w:rPr>
          <w:t>2.13</w:t>
        </w:r>
        <w:r>
          <w:rPr>
            <w:noProof/>
            <w:webHidden/>
          </w:rPr>
          <w:fldChar w:fldCharType="end"/>
        </w:r>
      </w:hyperlink>
    </w:p>
    <w:p w:rsidR="00EE6E7E" w:rsidRDefault="00EE6E7E">
      <w:pPr>
        <w:pStyle w:val="TM2"/>
        <w:tabs>
          <w:tab w:val="left" w:pos="880"/>
          <w:tab w:val="right" w:leader="dot" w:pos="9061"/>
        </w:tabs>
        <w:rPr>
          <w:rFonts w:asciiTheme="minorHAnsi" w:eastAsiaTheme="minorEastAsia" w:hAnsiTheme="minorHAnsi"/>
          <w:noProof/>
          <w:lang w:val="fr-FR" w:eastAsia="fr-FR"/>
        </w:rPr>
      </w:pPr>
      <w:hyperlink w:anchor="_Toc367360724" w:history="1">
        <w:r w:rsidRPr="001E46EF">
          <w:rPr>
            <w:rStyle w:val="Lienhypertexte"/>
            <w:noProof/>
          </w:rPr>
          <w:t>2.5</w:t>
        </w:r>
        <w:r>
          <w:rPr>
            <w:rFonts w:asciiTheme="minorHAnsi" w:eastAsiaTheme="minorEastAsia" w:hAnsiTheme="minorHAnsi"/>
            <w:noProof/>
            <w:lang w:val="fr-FR" w:eastAsia="fr-FR"/>
          </w:rPr>
          <w:tab/>
        </w:r>
        <w:r w:rsidRPr="001E46EF">
          <w:rPr>
            <w:rStyle w:val="Lienhypertexte"/>
            <w:noProof/>
          </w:rPr>
          <w:t>Exploration and discovery trends and new frontier exploration areas</w:t>
        </w:r>
        <w:r>
          <w:rPr>
            <w:noProof/>
            <w:webHidden/>
          </w:rPr>
          <w:tab/>
        </w:r>
        <w:r>
          <w:rPr>
            <w:noProof/>
            <w:webHidden/>
          </w:rPr>
          <w:fldChar w:fldCharType="begin"/>
        </w:r>
        <w:r>
          <w:rPr>
            <w:noProof/>
            <w:webHidden/>
          </w:rPr>
          <w:instrText xml:space="preserve"> PAGEREF _Toc367360724 \h </w:instrText>
        </w:r>
        <w:r>
          <w:rPr>
            <w:noProof/>
            <w:webHidden/>
          </w:rPr>
        </w:r>
        <w:r>
          <w:rPr>
            <w:noProof/>
            <w:webHidden/>
          </w:rPr>
          <w:fldChar w:fldCharType="separate"/>
        </w:r>
        <w:r>
          <w:rPr>
            <w:noProof/>
            <w:webHidden/>
          </w:rPr>
          <w:t>2.13</w:t>
        </w:r>
        <w:r>
          <w:rPr>
            <w:noProof/>
            <w:webHidden/>
          </w:rPr>
          <w:fldChar w:fldCharType="end"/>
        </w:r>
      </w:hyperlink>
    </w:p>
    <w:p w:rsidR="00EE6E7E" w:rsidRDefault="00EE6E7E">
      <w:pPr>
        <w:pStyle w:val="TM2"/>
        <w:tabs>
          <w:tab w:val="right" w:leader="dot" w:pos="9061"/>
        </w:tabs>
        <w:rPr>
          <w:rFonts w:asciiTheme="minorHAnsi" w:eastAsiaTheme="minorEastAsia" w:hAnsiTheme="minorHAnsi"/>
          <w:noProof/>
          <w:lang w:val="fr-FR" w:eastAsia="fr-FR"/>
        </w:rPr>
      </w:pPr>
      <w:hyperlink w:anchor="_Toc367360725" w:history="1">
        <w:r w:rsidRPr="001E46EF">
          <w:rPr>
            <w:rStyle w:val="Lienhypertexte"/>
            <w:noProof/>
          </w:rPr>
          <w:t>References</w:t>
        </w:r>
        <w:r>
          <w:rPr>
            <w:noProof/>
            <w:webHidden/>
          </w:rPr>
          <w:tab/>
        </w:r>
        <w:r>
          <w:rPr>
            <w:noProof/>
            <w:webHidden/>
          </w:rPr>
          <w:fldChar w:fldCharType="begin"/>
        </w:r>
        <w:r>
          <w:rPr>
            <w:noProof/>
            <w:webHidden/>
          </w:rPr>
          <w:instrText xml:space="preserve"> PAGEREF _Toc367360725 \h </w:instrText>
        </w:r>
        <w:r>
          <w:rPr>
            <w:noProof/>
            <w:webHidden/>
          </w:rPr>
        </w:r>
        <w:r>
          <w:rPr>
            <w:noProof/>
            <w:webHidden/>
          </w:rPr>
          <w:fldChar w:fldCharType="separate"/>
        </w:r>
        <w:r>
          <w:rPr>
            <w:noProof/>
            <w:webHidden/>
          </w:rPr>
          <w:t>2.14</w:t>
        </w:r>
        <w:r>
          <w:rPr>
            <w:noProof/>
            <w:webHidden/>
          </w:rPr>
          <w:fldChar w:fldCharType="end"/>
        </w:r>
      </w:hyperlink>
    </w:p>
    <w:p w:rsidR="00EE6E7E" w:rsidRDefault="00EE6E7E">
      <w:pPr>
        <w:pStyle w:val="TM2"/>
        <w:tabs>
          <w:tab w:val="right" w:leader="dot" w:pos="9061"/>
        </w:tabs>
        <w:rPr>
          <w:rFonts w:asciiTheme="minorHAnsi" w:eastAsiaTheme="minorEastAsia" w:hAnsiTheme="minorHAnsi"/>
          <w:noProof/>
          <w:lang w:val="fr-FR" w:eastAsia="fr-FR"/>
        </w:rPr>
      </w:pPr>
      <w:hyperlink w:anchor="_Toc367360726" w:history="1">
        <w:r w:rsidRPr="001E46EF">
          <w:rPr>
            <w:rStyle w:val="Lienhypertexte"/>
            <w:noProof/>
          </w:rPr>
          <w:t>Appendices</w:t>
        </w:r>
        <w:r>
          <w:rPr>
            <w:noProof/>
            <w:webHidden/>
          </w:rPr>
          <w:tab/>
        </w:r>
        <w:r>
          <w:rPr>
            <w:noProof/>
            <w:webHidden/>
          </w:rPr>
          <w:fldChar w:fldCharType="begin"/>
        </w:r>
        <w:r>
          <w:rPr>
            <w:noProof/>
            <w:webHidden/>
          </w:rPr>
          <w:instrText xml:space="preserve"> PAGEREF _Toc367360726 \h </w:instrText>
        </w:r>
        <w:r>
          <w:rPr>
            <w:noProof/>
            <w:webHidden/>
          </w:rPr>
        </w:r>
        <w:r>
          <w:rPr>
            <w:noProof/>
            <w:webHidden/>
          </w:rPr>
          <w:fldChar w:fldCharType="separate"/>
        </w:r>
        <w:r>
          <w:rPr>
            <w:noProof/>
            <w:webHidden/>
          </w:rPr>
          <w:t>2.15</w:t>
        </w:r>
        <w:r>
          <w:rPr>
            <w:noProof/>
            <w:webHidden/>
          </w:rPr>
          <w:fldChar w:fldCharType="end"/>
        </w:r>
      </w:hyperlink>
    </w:p>
    <w:p w:rsidR="00EE6E7E" w:rsidRDefault="00EE6E7E">
      <w:pPr>
        <w:pStyle w:val="TM2"/>
        <w:tabs>
          <w:tab w:val="right" w:leader="dot" w:pos="9061"/>
        </w:tabs>
        <w:rPr>
          <w:rFonts w:asciiTheme="minorHAnsi" w:eastAsiaTheme="minorEastAsia" w:hAnsiTheme="minorHAnsi"/>
          <w:noProof/>
          <w:lang w:val="fr-FR" w:eastAsia="fr-FR"/>
        </w:rPr>
      </w:pPr>
      <w:hyperlink w:anchor="_Toc367360727" w:history="1">
        <w:r w:rsidRPr="001E46EF">
          <w:rPr>
            <w:rStyle w:val="Lienhypertexte"/>
            <w:noProof/>
          </w:rPr>
          <w:t>A List of Tables</w:t>
        </w:r>
        <w:r>
          <w:rPr>
            <w:noProof/>
            <w:webHidden/>
          </w:rPr>
          <w:tab/>
        </w:r>
        <w:r>
          <w:rPr>
            <w:noProof/>
            <w:webHidden/>
          </w:rPr>
          <w:fldChar w:fldCharType="begin"/>
        </w:r>
        <w:r>
          <w:rPr>
            <w:noProof/>
            <w:webHidden/>
          </w:rPr>
          <w:instrText xml:space="preserve"> PAGEREF _Toc367360727 \h </w:instrText>
        </w:r>
        <w:r>
          <w:rPr>
            <w:noProof/>
            <w:webHidden/>
          </w:rPr>
        </w:r>
        <w:r>
          <w:rPr>
            <w:noProof/>
            <w:webHidden/>
          </w:rPr>
          <w:fldChar w:fldCharType="separate"/>
        </w:r>
        <w:r>
          <w:rPr>
            <w:noProof/>
            <w:webHidden/>
          </w:rPr>
          <w:t>2.15</w:t>
        </w:r>
        <w:r>
          <w:rPr>
            <w:noProof/>
            <w:webHidden/>
          </w:rPr>
          <w:fldChar w:fldCharType="end"/>
        </w:r>
      </w:hyperlink>
    </w:p>
    <w:p w:rsidR="00EE6E7E" w:rsidRDefault="00EE6E7E">
      <w:pPr>
        <w:pStyle w:val="TM2"/>
        <w:tabs>
          <w:tab w:val="right" w:leader="dot" w:pos="9061"/>
        </w:tabs>
        <w:rPr>
          <w:rFonts w:asciiTheme="minorHAnsi" w:eastAsiaTheme="minorEastAsia" w:hAnsiTheme="minorHAnsi"/>
          <w:noProof/>
          <w:lang w:val="fr-FR" w:eastAsia="fr-FR"/>
        </w:rPr>
      </w:pPr>
      <w:hyperlink w:anchor="_Toc367360728" w:history="1">
        <w:r w:rsidRPr="001E46EF">
          <w:rPr>
            <w:rStyle w:val="Lienhypertexte"/>
            <w:noProof/>
          </w:rPr>
          <w:t>B List of Figures</w:t>
        </w:r>
        <w:r>
          <w:rPr>
            <w:noProof/>
            <w:webHidden/>
          </w:rPr>
          <w:tab/>
        </w:r>
        <w:r>
          <w:rPr>
            <w:noProof/>
            <w:webHidden/>
          </w:rPr>
          <w:fldChar w:fldCharType="begin"/>
        </w:r>
        <w:r>
          <w:rPr>
            <w:noProof/>
            <w:webHidden/>
          </w:rPr>
          <w:instrText xml:space="preserve"> PAGEREF _Toc367360728 \h </w:instrText>
        </w:r>
        <w:r>
          <w:rPr>
            <w:noProof/>
            <w:webHidden/>
          </w:rPr>
        </w:r>
        <w:r>
          <w:rPr>
            <w:noProof/>
            <w:webHidden/>
          </w:rPr>
          <w:fldChar w:fldCharType="separate"/>
        </w:r>
        <w:r>
          <w:rPr>
            <w:noProof/>
            <w:webHidden/>
          </w:rPr>
          <w:t>2.16</w:t>
        </w:r>
        <w:r>
          <w:rPr>
            <w:noProof/>
            <w:webHidden/>
          </w:rPr>
          <w:fldChar w:fldCharType="end"/>
        </w:r>
      </w:hyperlink>
    </w:p>
    <w:p w:rsidR="00EE6E7E" w:rsidRDefault="00EE6E7E">
      <w:pPr>
        <w:pStyle w:val="TM2"/>
        <w:tabs>
          <w:tab w:val="right" w:leader="dot" w:pos="9061"/>
        </w:tabs>
        <w:rPr>
          <w:rFonts w:asciiTheme="minorHAnsi" w:eastAsiaTheme="minorEastAsia" w:hAnsiTheme="minorHAnsi"/>
          <w:noProof/>
          <w:lang w:val="fr-FR" w:eastAsia="fr-FR"/>
        </w:rPr>
      </w:pPr>
      <w:hyperlink w:anchor="_Toc367360729" w:history="1">
        <w:r w:rsidRPr="001E46EF">
          <w:rPr>
            <w:rStyle w:val="Lienhypertexte"/>
            <w:noProof/>
          </w:rPr>
          <w:t>C Glossary and Acronyms</w:t>
        </w:r>
        <w:r>
          <w:rPr>
            <w:noProof/>
            <w:webHidden/>
          </w:rPr>
          <w:tab/>
        </w:r>
        <w:r>
          <w:rPr>
            <w:noProof/>
            <w:webHidden/>
          </w:rPr>
          <w:fldChar w:fldCharType="begin"/>
        </w:r>
        <w:r>
          <w:rPr>
            <w:noProof/>
            <w:webHidden/>
          </w:rPr>
          <w:instrText xml:space="preserve"> PAGEREF _Toc367360729 \h </w:instrText>
        </w:r>
        <w:r>
          <w:rPr>
            <w:noProof/>
            <w:webHidden/>
          </w:rPr>
        </w:r>
        <w:r>
          <w:rPr>
            <w:noProof/>
            <w:webHidden/>
          </w:rPr>
          <w:fldChar w:fldCharType="separate"/>
        </w:r>
        <w:r>
          <w:rPr>
            <w:noProof/>
            <w:webHidden/>
          </w:rPr>
          <w:t>2.17</w:t>
        </w:r>
        <w:r>
          <w:rPr>
            <w:noProof/>
            <w:webHidden/>
          </w:rPr>
          <w:fldChar w:fldCharType="end"/>
        </w:r>
      </w:hyperlink>
    </w:p>
    <w:p w:rsidR="00371AAC" w:rsidRPr="00371AAC" w:rsidRDefault="00D24DB8" w:rsidP="00371AAC">
      <w:pPr>
        <w:rPr>
          <w:lang w:val="pt-BR"/>
        </w:rPr>
      </w:pPr>
      <w:r>
        <w:rPr>
          <w:lang w:val="pt-BR"/>
        </w:rPr>
        <w:fldChar w:fldCharType="end"/>
      </w:r>
    </w:p>
    <w:p w:rsidR="00772CE2" w:rsidRPr="00371AAC" w:rsidRDefault="00772CE2">
      <w:pPr>
        <w:rPr>
          <w:lang w:val="pt-BR"/>
        </w:rPr>
      </w:pPr>
    </w:p>
    <w:p w:rsidR="00772CE2" w:rsidRPr="00371AAC" w:rsidRDefault="00772CE2">
      <w:pPr>
        <w:rPr>
          <w:lang w:val="pt-BR"/>
        </w:rPr>
      </w:pPr>
    </w:p>
    <w:p w:rsidR="00772CE2" w:rsidRPr="00371AAC" w:rsidRDefault="00772CE2">
      <w:pPr>
        <w:rPr>
          <w:lang w:val="pt-BR"/>
        </w:rPr>
      </w:pPr>
      <w:r w:rsidRPr="00371AAC">
        <w:rPr>
          <w:lang w:val="pt-BR"/>
        </w:rPr>
        <w:br w:type="page"/>
      </w:r>
    </w:p>
    <w:p w:rsidR="00772CE2" w:rsidRDefault="00C270CE" w:rsidP="00C270CE">
      <w:pPr>
        <w:pStyle w:val="Titre1"/>
      </w:pPr>
      <w:bookmarkStart w:id="0" w:name="_Toc367360711"/>
      <w:r>
        <w:lastRenderedPageBreak/>
        <w:t>ASSESSMENT OF GLOBAL RESERVES AND RESOURCES</w:t>
      </w:r>
      <w:bookmarkEnd w:id="0"/>
    </w:p>
    <w:p w:rsidR="00CD61D1" w:rsidRDefault="00CD61D1" w:rsidP="00CD61D1"/>
    <w:p w:rsidR="00CD61D1" w:rsidRDefault="00CD61D1" w:rsidP="00CD61D1">
      <w:pPr>
        <w:pStyle w:val="Titre2"/>
        <w:numPr>
          <w:ilvl w:val="0"/>
          <w:numId w:val="0"/>
        </w:numPr>
      </w:pPr>
      <w:bookmarkStart w:id="1" w:name="_Toc367360712"/>
      <w:r>
        <w:t>Executive Summary</w:t>
      </w:r>
      <w:bookmarkEnd w:id="1"/>
    </w:p>
    <w:p w:rsidR="00CD61D1" w:rsidRPr="00EB50F8" w:rsidRDefault="00CD61D1" w:rsidP="00CD61D1">
      <w:pPr>
        <w:rPr>
          <w:rFonts w:cs="Arial"/>
        </w:rPr>
      </w:pPr>
    </w:p>
    <w:p w:rsidR="00962E2F" w:rsidRDefault="00962E2F" w:rsidP="00962E2F">
      <w:pPr>
        <w:autoSpaceDE w:val="0"/>
        <w:autoSpaceDN w:val="0"/>
        <w:adjustRightInd w:val="0"/>
        <w:spacing w:after="120" w:line="240" w:lineRule="auto"/>
        <w:jc w:val="both"/>
        <w:rPr>
          <w:rFonts w:cs="Arial"/>
          <w:lang w:val="en-GB"/>
        </w:rPr>
      </w:pPr>
      <w:r w:rsidRPr="00612807">
        <w:rPr>
          <w:rFonts w:cs="Arial"/>
          <w:lang w:val="en-GB"/>
        </w:rPr>
        <w:t>In the middle of the so called unconventional gas revolution, one of the most important challenges is the development of reliable estimates for both conventional and unconventional gas reserves and resources.</w:t>
      </w:r>
      <w:r w:rsidR="00612807">
        <w:rPr>
          <w:rFonts w:cs="Arial"/>
          <w:lang w:val="en-GB"/>
        </w:rPr>
        <w:t xml:space="preserve"> Meanwhile, most of the international organisations point out that </w:t>
      </w:r>
      <w:r w:rsidR="001152C2">
        <w:rPr>
          <w:rFonts w:cs="Arial"/>
          <w:lang w:val="en-GB"/>
        </w:rPr>
        <w:t xml:space="preserve">resources of natural gas are everywhere and enough for more than 250 years of use. </w:t>
      </w:r>
      <w:r w:rsidR="0022457D">
        <w:rPr>
          <w:rFonts w:cs="Arial"/>
          <w:lang w:val="en-GB"/>
        </w:rPr>
        <w:t>Thus,</w:t>
      </w:r>
      <w:r>
        <w:rPr>
          <w:rFonts w:cs="Arial"/>
          <w:lang w:val="en-GB"/>
        </w:rPr>
        <w:t xml:space="preserve"> </w:t>
      </w:r>
      <w:r w:rsidR="001152C2">
        <w:rPr>
          <w:rFonts w:cs="Arial"/>
          <w:lang w:val="en-GB"/>
        </w:rPr>
        <w:t xml:space="preserve">the natural </w:t>
      </w:r>
      <w:r w:rsidR="0022457D">
        <w:rPr>
          <w:rFonts w:cs="Arial"/>
          <w:lang w:val="en-GB"/>
        </w:rPr>
        <w:t xml:space="preserve">gas </w:t>
      </w:r>
      <w:r w:rsidR="001152C2">
        <w:rPr>
          <w:rFonts w:cs="Arial"/>
          <w:lang w:val="en-GB"/>
        </w:rPr>
        <w:t xml:space="preserve">will </w:t>
      </w:r>
      <w:r w:rsidR="0022457D">
        <w:rPr>
          <w:rFonts w:cs="Arial"/>
          <w:lang w:val="en-GB"/>
        </w:rPr>
        <w:t xml:space="preserve">then </w:t>
      </w:r>
      <w:r w:rsidR="001152C2">
        <w:rPr>
          <w:rFonts w:cs="Arial"/>
          <w:lang w:val="en-GB"/>
        </w:rPr>
        <w:t xml:space="preserve">continue to play the key role as the most accessible </w:t>
      </w:r>
      <w:r w:rsidRPr="00962E2F">
        <w:rPr>
          <w:rFonts w:cs="Arial"/>
          <w:lang w:val="en-GB"/>
        </w:rPr>
        <w:t>and secure energy source.</w:t>
      </w:r>
    </w:p>
    <w:p w:rsidR="00EB50F8" w:rsidRDefault="00962E2F" w:rsidP="00BD1614">
      <w:pPr>
        <w:autoSpaceDE w:val="0"/>
        <w:autoSpaceDN w:val="0"/>
        <w:adjustRightInd w:val="0"/>
        <w:spacing w:before="120" w:after="120" w:line="240" w:lineRule="auto"/>
        <w:jc w:val="both"/>
        <w:rPr>
          <w:bCs/>
          <w:lang w:val="en-GB"/>
        </w:rPr>
      </w:pPr>
      <w:r>
        <w:rPr>
          <w:rFonts w:cs="Arial"/>
        </w:rPr>
        <w:t>In light of this statement,</w:t>
      </w:r>
      <w:r w:rsidR="00935C87">
        <w:rPr>
          <w:rFonts w:cs="Arial"/>
        </w:rPr>
        <w:t xml:space="preserve"> the</w:t>
      </w:r>
      <w:r w:rsidR="0068049E" w:rsidRPr="00087F3F">
        <w:rPr>
          <w:rFonts w:cs="Arial"/>
        </w:rPr>
        <w:t xml:space="preserve"> report provides </w:t>
      </w:r>
      <w:r w:rsidR="00052956">
        <w:rPr>
          <w:rFonts w:cs="Arial"/>
        </w:rPr>
        <w:t>an updated</w:t>
      </w:r>
      <w:r w:rsidR="00EB50F8" w:rsidRPr="00087F3F">
        <w:rPr>
          <w:rFonts w:cs="Arial"/>
        </w:rPr>
        <w:t xml:space="preserve"> global </w:t>
      </w:r>
      <w:r w:rsidR="0068049E" w:rsidRPr="00087F3F">
        <w:rPr>
          <w:rFonts w:cs="Arial"/>
        </w:rPr>
        <w:t xml:space="preserve">assessment </w:t>
      </w:r>
      <w:r w:rsidR="001A65F6" w:rsidRPr="00087F3F">
        <w:rPr>
          <w:rFonts w:cs="Arial"/>
        </w:rPr>
        <w:t xml:space="preserve">of </w:t>
      </w:r>
      <w:r w:rsidR="00EB50F8" w:rsidRPr="00087F3F">
        <w:rPr>
          <w:rFonts w:cs="Arial"/>
        </w:rPr>
        <w:t xml:space="preserve">both </w:t>
      </w:r>
      <w:r w:rsidR="001A65F6" w:rsidRPr="00087F3F">
        <w:rPr>
          <w:rFonts w:cs="Arial"/>
        </w:rPr>
        <w:t>conventional and unconventional gas</w:t>
      </w:r>
      <w:r w:rsidR="00EB50F8" w:rsidRPr="00087F3F">
        <w:rPr>
          <w:rFonts w:cs="Arial"/>
        </w:rPr>
        <w:t xml:space="preserve"> reserves and resources</w:t>
      </w:r>
      <w:r w:rsidR="00087F3F" w:rsidRPr="00087F3F">
        <w:t xml:space="preserve">, </w:t>
      </w:r>
      <w:r w:rsidR="00087F3F">
        <w:t>including</w:t>
      </w:r>
      <w:r w:rsidR="00087F3F" w:rsidRPr="00087F3F">
        <w:rPr>
          <w:rFonts w:cs="Arial"/>
        </w:rPr>
        <w:t xml:space="preserve"> </w:t>
      </w:r>
      <w:r w:rsidR="00087F3F">
        <w:rPr>
          <w:rFonts w:cs="Arial"/>
        </w:rPr>
        <w:t xml:space="preserve">subtle traps in mature basins, exploration of frontier areas and unconventional sources </w:t>
      </w:r>
      <w:r w:rsidR="00052956">
        <w:rPr>
          <w:rFonts w:cs="Arial"/>
        </w:rPr>
        <w:t>associated with</w:t>
      </w:r>
      <w:r w:rsidR="00087F3F">
        <w:rPr>
          <w:rFonts w:cs="Arial"/>
        </w:rPr>
        <w:t xml:space="preserve"> tight gas, shale gas, coalbed methane and gas hydrates.</w:t>
      </w:r>
      <w:r w:rsidR="00BD1614">
        <w:rPr>
          <w:rFonts w:cs="Arial"/>
        </w:rPr>
        <w:t xml:space="preserve"> It looks</w:t>
      </w:r>
      <w:r w:rsidR="00EB50F8" w:rsidRPr="00EB50F8">
        <w:rPr>
          <w:rFonts w:cs="Arial"/>
        </w:rPr>
        <w:t xml:space="preserve"> </w:t>
      </w:r>
      <w:r w:rsidR="00EB50F8">
        <w:t xml:space="preserve">first </w:t>
      </w:r>
      <w:r w:rsidR="00EB50F8" w:rsidRPr="00EB50F8">
        <w:rPr>
          <w:rFonts w:cs="Arial"/>
        </w:rPr>
        <w:t xml:space="preserve">at </w:t>
      </w:r>
      <w:r w:rsidR="00EB50F8" w:rsidRPr="00EB50F8">
        <w:rPr>
          <w:bCs/>
          <w:lang w:val="en-GB"/>
        </w:rPr>
        <w:t xml:space="preserve">the most important projects under development, and their potential impact on the future availability of natural gas from both regional and global standpoints. </w:t>
      </w:r>
      <w:r w:rsidR="00EB50F8">
        <w:rPr>
          <w:bCs/>
          <w:lang w:val="en-GB"/>
        </w:rPr>
        <w:t>Then, e</w:t>
      </w:r>
      <w:r w:rsidR="00EB50F8" w:rsidRPr="00CD5F94">
        <w:rPr>
          <w:bCs/>
          <w:lang w:val="en-GB"/>
        </w:rPr>
        <w:t xml:space="preserve">xploratory hotspots and new frontiers for natural gas </w:t>
      </w:r>
      <w:r w:rsidR="00EB50F8">
        <w:rPr>
          <w:bCs/>
          <w:lang w:val="en-GB"/>
        </w:rPr>
        <w:t>are</w:t>
      </w:r>
      <w:r w:rsidR="00EB50F8" w:rsidRPr="00CD5F94">
        <w:rPr>
          <w:bCs/>
          <w:lang w:val="en-GB"/>
        </w:rPr>
        <w:t xml:space="preserve"> highlighted, and the most important trends, uncertainties, opportunities and threats to be faced by the upstream segment of the gas industry </w:t>
      </w:r>
      <w:r w:rsidR="00EB50F8">
        <w:rPr>
          <w:bCs/>
          <w:lang w:val="en-GB"/>
        </w:rPr>
        <w:t>are</w:t>
      </w:r>
      <w:r w:rsidR="00EB50F8" w:rsidRPr="00CD5F94">
        <w:rPr>
          <w:bCs/>
          <w:lang w:val="en-GB"/>
        </w:rPr>
        <w:t xml:space="preserve"> listed and dealt with.</w:t>
      </w:r>
      <w:r w:rsidR="00052956">
        <w:rPr>
          <w:bCs/>
          <w:lang w:val="en-GB"/>
        </w:rPr>
        <w:t xml:space="preserve"> </w:t>
      </w:r>
      <w:r w:rsidR="00EB50F8" w:rsidRPr="00CD5F94">
        <w:rPr>
          <w:bCs/>
          <w:lang w:val="en-GB"/>
        </w:rPr>
        <w:t>In this process,</w:t>
      </w:r>
      <w:r w:rsidR="00087F3F" w:rsidRPr="00087F3F">
        <w:rPr>
          <w:bCs/>
          <w:lang w:val="en-GB"/>
        </w:rPr>
        <w:t xml:space="preserve"> </w:t>
      </w:r>
      <w:r w:rsidR="00087F3F" w:rsidRPr="00CD5F94">
        <w:rPr>
          <w:bCs/>
          <w:lang w:val="en-GB"/>
        </w:rPr>
        <w:t>the initiatives for associated gas flaring reduction as mean</w:t>
      </w:r>
      <w:r w:rsidR="00BD1614">
        <w:rPr>
          <w:bCs/>
          <w:lang w:val="en-GB"/>
        </w:rPr>
        <w:t>s</w:t>
      </w:r>
      <w:r w:rsidR="00087F3F" w:rsidRPr="00CD5F94">
        <w:rPr>
          <w:bCs/>
          <w:lang w:val="en-GB"/>
        </w:rPr>
        <w:t xml:space="preserve"> of sustainably</w:t>
      </w:r>
      <w:r w:rsidR="00087F3F">
        <w:rPr>
          <w:bCs/>
          <w:lang w:val="en-GB"/>
        </w:rPr>
        <w:t xml:space="preserve"> enhancing gas supply are also examined. </w:t>
      </w:r>
    </w:p>
    <w:p w:rsidR="00935C87" w:rsidRDefault="00107DDB" w:rsidP="00BD1614">
      <w:pPr>
        <w:autoSpaceDE w:val="0"/>
        <w:autoSpaceDN w:val="0"/>
        <w:adjustRightInd w:val="0"/>
        <w:spacing w:before="120" w:after="120" w:line="240" w:lineRule="auto"/>
        <w:jc w:val="both"/>
        <w:rPr>
          <w:rFonts w:cs="Arial"/>
          <w:lang w:val="en-GB"/>
        </w:rPr>
      </w:pPr>
      <w:r>
        <w:rPr>
          <w:rFonts w:cs="Arial"/>
          <w:lang w:val="en-GB"/>
        </w:rPr>
        <w:t xml:space="preserve">Conventional resources _ </w:t>
      </w:r>
    </w:p>
    <w:p w:rsidR="00E533A5" w:rsidRDefault="00EA4392" w:rsidP="00E533A5">
      <w:pPr>
        <w:autoSpaceDE w:val="0"/>
        <w:autoSpaceDN w:val="0"/>
        <w:adjustRightInd w:val="0"/>
        <w:spacing w:after="0" w:line="240" w:lineRule="auto"/>
        <w:jc w:val="both"/>
        <w:rPr>
          <w:rFonts w:cs="Arial"/>
        </w:rPr>
      </w:pPr>
      <w:r>
        <w:rPr>
          <w:rFonts w:cs="Arial"/>
          <w:lang w:val="en-GB"/>
        </w:rPr>
        <w:t>Un</w:t>
      </w:r>
      <w:r w:rsidR="00E533A5">
        <w:rPr>
          <w:rFonts w:cs="Arial"/>
          <w:lang w:val="en-GB"/>
        </w:rPr>
        <w:t>c</w:t>
      </w:r>
      <w:r>
        <w:rPr>
          <w:rFonts w:cs="Arial"/>
          <w:lang w:val="en-GB"/>
        </w:rPr>
        <w:t xml:space="preserve">onventional resources _ </w:t>
      </w:r>
      <w:r w:rsidR="00E533A5" w:rsidRPr="006D739B">
        <w:rPr>
          <w:rFonts w:cs="Arial"/>
        </w:rPr>
        <w:t>If all the projections reported in the literature are correct,</w:t>
      </w:r>
      <w:r w:rsidR="00E533A5">
        <w:rPr>
          <w:rFonts w:cs="Arial"/>
        </w:rPr>
        <w:t xml:space="preserve"> </w:t>
      </w:r>
      <w:r w:rsidR="00E533A5" w:rsidRPr="006D739B">
        <w:rPr>
          <w:rFonts w:cs="Arial"/>
        </w:rPr>
        <w:t>unconventional gas from shales and tight reservoirs will account for more than  50% of Global supply by 2020.</w:t>
      </w:r>
      <w:r w:rsidR="00E533A5">
        <w:rPr>
          <w:rFonts w:cs="Arial"/>
        </w:rPr>
        <w:t xml:space="preserve"> In this case, the term of unconventional is not valid with development of technologies to increase the production and reduce the cost. </w:t>
      </w:r>
    </w:p>
    <w:p w:rsidR="001A65F6" w:rsidRPr="006D739B" w:rsidRDefault="00B72E08" w:rsidP="00864675">
      <w:pPr>
        <w:spacing w:before="120" w:after="120" w:line="240" w:lineRule="auto"/>
        <w:jc w:val="both"/>
        <w:rPr>
          <w:rFonts w:cs="Arial"/>
        </w:rPr>
      </w:pPr>
      <w:r w:rsidRPr="006D739B">
        <w:rPr>
          <w:rFonts w:cs="Arial"/>
          <w:lang w:val="en-GB"/>
        </w:rPr>
        <w:t>As</w:t>
      </w:r>
      <w:r w:rsidR="008A7A02" w:rsidRPr="006D739B">
        <w:rPr>
          <w:rFonts w:cs="Arial"/>
          <w:lang w:val="en-GB"/>
        </w:rPr>
        <w:t xml:space="preserve"> regard</w:t>
      </w:r>
      <w:r w:rsidRPr="006D739B">
        <w:rPr>
          <w:rFonts w:cs="Arial"/>
          <w:lang w:val="en-GB"/>
        </w:rPr>
        <w:t xml:space="preserve">s </w:t>
      </w:r>
      <w:r w:rsidR="008A7A02" w:rsidRPr="006D739B">
        <w:rPr>
          <w:rFonts w:cs="Arial"/>
          <w:lang w:val="en-GB"/>
        </w:rPr>
        <w:t xml:space="preserve">unconventional </w:t>
      </w:r>
      <w:r w:rsidRPr="006D739B">
        <w:rPr>
          <w:rFonts w:cs="Arial"/>
          <w:lang w:val="en-GB"/>
        </w:rPr>
        <w:t>resources associated with</w:t>
      </w:r>
      <w:r w:rsidR="008A7A02" w:rsidRPr="006D739B">
        <w:rPr>
          <w:rFonts w:cs="Arial"/>
          <w:lang w:val="en-GB"/>
        </w:rPr>
        <w:t xml:space="preserve"> shale gas, t</w:t>
      </w:r>
      <w:r w:rsidR="00BD1614" w:rsidRPr="006D739B">
        <w:rPr>
          <w:rFonts w:cs="Arial"/>
          <w:lang w:val="en-GB"/>
        </w:rPr>
        <w:t xml:space="preserve">he study </w:t>
      </w:r>
      <w:r w:rsidR="008A7A02" w:rsidRPr="006D739B">
        <w:rPr>
          <w:rFonts w:cs="Arial"/>
          <w:lang w:val="en-GB"/>
        </w:rPr>
        <w:t xml:space="preserve">rely </w:t>
      </w:r>
      <w:r w:rsidR="00BD1614" w:rsidRPr="006D739B">
        <w:rPr>
          <w:rFonts w:cs="Arial"/>
          <w:lang w:val="en-GB"/>
        </w:rPr>
        <w:t xml:space="preserve">mainly </w:t>
      </w:r>
      <w:r w:rsidR="008A7A02" w:rsidRPr="006D739B">
        <w:rPr>
          <w:rFonts w:cs="Arial"/>
          <w:lang w:val="en-GB"/>
        </w:rPr>
        <w:t xml:space="preserve">on the </w:t>
      </w:r>
      <w:r w:rsidR="008A7A02" w:rsidRPr="006D739B">
        <w:rPr>
          <w:rFonts w:cs="Arial"/>
        </w:rPr>
        <w:t xml:space="preserve">U.S. Energy Information Administration (EIA) report of June 2013 titled </w:t>
      </w:r>
      <w:r w:rsidR="00E533A5">
        <w:rPr>
          <w:rFonts w:cs="Arial"/>
        </w:rPr>
        <w:t>that assesses</w:t>
      </w:r>
      <w:r w:rsidR="00864675" w:rsidRPr="006D739B">
        <w:rPr>
          <w:rFonts w:cs="Arial"/>
        </w:rPr>
        <w:t xml:space="preserve"> 137 Shale Formations in 41 Countries Outside the United States"</w:t>
      </w:r>
      <w:r w:rsidR="008A7A02" w:rsidRPr="006D739B">
        <w:rPr>
          <w:rFonts w:cs="Arial"/>
        </w:rPr>
        <w:t>.</w:t>
      </w:r>
    </w:p>
    <w:p w:rsidR="00BF3DA5" w:rsidRPr="00FC2E2E" w:rsidRDefault="00BF3DA5" w:rsidP="00BF3DA5">
      <w:pPr>
        <w:autoSpaceDE w:val="0"/>
        <w:autoSpaceDN w:val="0"/>
        <w:adjustRightInd w:val="0"/>
        <w:spacing w:after="0" w:line="240" w:lineRule="auto"/>
        <w:rPr>
          <w:rFonts w:ascii="Calibri-Bold" w:hAnsi="Calibri-Bold" w:cs="Calibri-Bold"/>
          <w:b/>
          <w:bCs/>
          <w:color w:val="4F81BD" w:themeColor="accent1"/>
        </w:rPr>
      </w:pPr>
      <w:r w:rsidRPr="00FC2E2E">
        <w:rPr>
          <w:rFonts w:ascii="Calibri-Bold" w:hAnsi="Calibri-Bold" w:cs="Calibri-Bold"/>
          <w:b/>
          <w:bCs/>
          <w:color w:val="4F81BD" w:themeColor="accent1"/>
        </w:rPr>
        <w:t xml:space="preserve">Table </w:t>
      </w:r>
      <w:r w:rsidR="00E533A5" w:rsidRPr="00FC2E2E">
        <w:rPr>
          <w:rFonts w:ascii="Calibri-Bold" w:hAnsi="Calibri-Bold" w:cs="Calibri-Bold"/>
          <w:b/>
          <w:bCs/>
          <w:color w:val="4F81BD" w:themeColor="accent1"/>
        </w:rPr>
        <w:t>1</w:t>
      </w:r>
      <w:r w:rsidRPr="00FC2E2E">
        <w:rPr>
          <w:rFonts w:ascii="Calibri-Bold" w:hAnsi="Calibri-Bold" w:cs="Calibri-Bold"/>
          <w:b/>
          <w:bCs/>
          <w:color w:val="4F81BD" w:themeColor="accent1"/>
        </w:rPr>
        <w:t>. Top 10 countries with technically recoverable shale gas resources</w:t>
      </w:r>
    </w:p>
    <w:p w:rsidR="00BF3DA5" w:rsidRDefault="00BF3DA5" w:rsidP="00BF3DA5">
      <w:pPr>
        <w:autoSpaceDE w:val="0"/>
        <w:autoSpaceDN w:val="0"/>
        <w:adjustRightInd w:val="0"/>
        <w:spacing w:after="0" w:line="240" w:lineRule="auto"/>
        <w:rPr>
          <w:rFonts w:ascii="Calibri-Bold" w:hAnsi="Calibri-Bold" w:cs="Calibri-Bold"/>
          <w:b/>
          <w:bCs/>
          <w:color w:val="1397D9"/>
        </w:rPr>
      </w:pPr>
    </w:p>
    <w:tbl>
      <w:tblPr>
        <w:tblStyle w:val="Grilledutableau"/>
        <w:tblW w:w="0" w:type="auto"/>
        <w:tblInd w:w="720" w:type="dxa"/>
        <w:tblLook w:val="04A0"/>
      </w:tblPr>
      <w:tblGrid>
        <w:gridCol w:w="937"/>
        <w:gridCol w:w="1724"/>
        <w:gridCol w:w="2430"/>
      </w:tblGrid>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r w:rsidRPr="004636B7">
              <w:rPr>
                <w:rFonts w:cs="Arial"/>
                <w:b/>
                <w:bCs/>
                <w:sz w:val="20"/>
                <w:szCs w:val="20"/>
              </w:rPr>
              <w:t>Rank</w:t>
            </w:r>
          </w:p>
        </w:tc>
        <w:tc>
          <w:tcPr>
            <w:tcW w:w="1724" w:type="dxa"/>
          </w:tcPr>
          <w:p w:rsidR="00BF3DA5" w:rsidRPr="004636B7" w:rsidRDefault="00BF3DA5" w:rsidP="00BF3DA5">
            <w:pPr>
              <w:autoSpaceDE w:val="0"/>
              <w:autoSpaceDN w:val="0"/>
              <w:adjustRightInd w:val="0"/>
              <w:rPr>
                <w:rFonts w:cs="Arial"/>
                <w:b/>
                <w:bCs/>
                <w:sz w:val="20"/>
                <w:szCs w:val="20"/>
              </w:rPr>
            </w:pPr>
            <w:r w:rsidRPr="004636B7">
              <w:rPr>
                <w:rFonts w:cs="Arial"/>
                <w:b/>
                <w:bCs/>
                <w:sz w:val="20"/>
                <w:szCs w:val="20"/>
              </w:rPr>
              <w:t>Country</w:t>
            </w:r>
          </w:p>
        </w:tc>
        <w:tc>
          <w:tcPr>
            <w:tcW w:w="2430" w:type="dxa"/>
          </w:tcPr>
          <w:p w:rsidR="00BF3DA5" w:rsidRPr="004636B7" w:rsidRDefault="00BF3DA5" w:rsidP="00BF3DA5">
            <w:pPr>
              <w:autoSpaceDE w:val="0"/>
              <w:autoSpaceDN w:val="0"/>
              <w:adjustRightInd w:val="0"/>
              <w:rPr>
                <w:rFonts w:cs="Arial"/>
                <w:b/>
                <w:bCs/>
                <w:sz w:val="20"/>
                <w:szCs w:val="20"/>
              </w:rPr>
            </w:pPr>
            <w:r w:rsidRPr="004636B7">
              <w:rPr>
                <w:rFonts w:cs="Arial"/>
                <w:b/>
                <w:bCs/>
                <w:sz w:val="20"/>
                <w:szCs w:val="20"/>
              </w:rPr>
              <w:t>Shale gas</w:t>
            </w:r>
          </w:p>
          <w:p w:rsidR="00BF3DA5" w:rsidRPr="004636B7" w:rsidRDefault="00BF3DA5" w:rsidP="00BF3DA5">
            <w:pPr>
              <w:autoSpaceDE w:val="0"/>
              <w:autoSpaceDN w:val="0"/>
              <w:adjustRightInd w:val="0"/>
              <w:rPr>
                <w:rFonts w:cs="Arial"/>
                <w:b/>
                <w:bCs/>
                <w:sz w:val="20"/>
                <w:szCs w:val="20"/>
              </w:rPr>
            </w:pPr>
            <w:r w:rsidRPr="004636B7">
              <w:rPr>
                <w:rFonts w:cs="Arial"/>
                <w:b/>
                <w:bCs/>
                <w:sz w:val="20"/>
                <w:szCs w:val="20"/>
              </w:rPr>
              <w:t>(trillion cubic feet)</w:t>
            </w:r>
          </w:p>
        </w:tc>
      </w:tr>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r w:rsidRPr="004636B7">
              <w:rPr>
                <w:rFonts w:cs="Arial"/>
                <w:b/>
                <w:bCs/>
                <w:sz w:val="20"/>
                <w:szCs w:val="20"/>
              </w:rPr>
              <w:t>1</w:t>
            </w:r>
          </w:p>
        </w:tc>
        <w:tc>
          <w:tcPr>
            <w:tcW w:w="1724"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China</w:t>
            </w:r>
          </w:p>
        </w:tc>
        <w:tc>
          <w:tcPr>
            <w:tcW w:w="2430"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1,115</w:t>
            </w:r>
          </w:p>
        </w:tc>
      </w:tr>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r w:rsidRPr="004636B7">
              <w:rPr>
                <w:rFonts w:cs="Arial"/>
                <w:b/>
                <w:bCs/>
                <w:sz w:val="20"/>
                <w:szCs w:val="20"/>
              </w:rPr>
              <w:t>2</w:t>
            </w:r>
          </w:p>
        </w:tc>
        <w:tc>
          <w:tcPr>
            <w:tcW w:w="1724"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 xml:space="preserve">Argentina </w:t>
            </w:r>
          </w:p>
        </w:tc>
        <w:tc>
          <w:tcPr>
            <w:tcW w:w="2430"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802</w:t>
            </w:r>
          </w:p>
        </w:tc>
      </w:tr>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3</w:t>
            </w:r>
          </w:p>
        </w:tc>
        <w:tc>
          <w:tcPr>
            <w:tcW w:w="1724" w:type="dxa"/>
          </w:tcPr>
          <w:p w:rsidR="00BF3DA5" w:rsidRPr="004636B7" w:rsidRDefault="00BF3DA5" w:rsidP="00BF3DA5">
            <w:pPr>
              <w:autoSpaceDE w:val="0"/>
              <w:autoSpaceDN w:val="0"/>
              <w:adjustRightInd w:val="0"/>
              <w:rPr>
                <w:rFonts w:cs="Arial"/>
                <w:sz w:val="20"/>
                <w:szCs w:val="20"/>
              </w:rPr>
            </w:pPr>
            <w:r w:rsidRPr="004636B7">
              <w:rPr>
                <w:rFonts w:cs="Arial"/>
                <w:sz w:val="20"/>
                <w:szCs w:val="20"/>
              </w:rPr>
              <w:t xml:space="preserve">Algeria </w:t>
            </w:r>
          </w:p>
        </w:tc>
        <w:tc>
          <w:tcPr>
            <w:tcW w:w="2430"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707</w:t>
            </w:r>
          </w:p>
        </w:tc>
      </w:tr>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4</w:t>
            </w:r>
          </w:p>
        </w:tc>
        <w:tc>
          <w:tcPr>
            <w:tcW w:w="1724"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U.S.</w:t>
            </w:r>
            <w:r w:rsidRPr="004636B7">
              <w:rPr>
                <w:rFonts w:cs="Arial"/>
                <w:sz w:val="20"/>
                <w:szCs w:val="20"/>
                <w:vertAlign w:val="superscript"/>
              </w:rPr>
              <w:t>1</w:t>
            </w:r>
          </w:p>
        </w:tc>
        <w:tc>
          <w:tcPr>
            <w:tcW w:w="2430" w:type="dxa"/>
          </w:tcPr>
          <w:p w:rsidR="00BF3DA5" w:rsidRPr="004636B7" w:rsidRDefault="00BF3DA5" w:rsidP="00BF3DA5">
            <w:pPr>
              <w:autoSpaceDE w:val="0"/>
              <w:autoSpaceDN w:val="0"/>
              <w:adjustRightInd w:val="0"/>
              <w:rPr>
                <w:rFonts w:cs="Arial"/>
                <w:sz w:val="20"/>
                <w:szCs w:val="20"/>
              </w:rPr>
            </w:pPr>
            <w:r w:rsidRPr="004636B7">
              <w:rPr>
                <w:rFonts w:cs="Arial"/>
                <w:sz w:val="20"/>
                <w:szCs w:val="20"/>
              </w:rPr>
              <w:t>665    (1,161)</w:t>
            </w:r>
          </w:p>
        </w:tc>
      </w:tr>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r w:rsidRPr="004636B7">
              <w:rPr>
                <w:rFonts w:cs="Arial"/>
                <w:b/>
                <w:bCs/>
                <w:sz w:val="20"/>
                <w:szCs w:val="20"/>
              </w:rPr>
              <w:t>5</w:t>
            </w:r>
          </w:p>
        </w:tc>
        <w:tc>
          <w:tcPr>
            <w:tcW w:w="1724"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Canada</w:t>
            </w:r>
          </w:p>
        </w:tc>
        <w:tc>
          <w:tcPr>
            <w:tcW w:w="2430"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573</w:t>
            </w:r>
          </w:p>
        </w:tc>
      </w:tr>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r w:rsidRPr="004636B7">
              <w:rPr>
                <w:rFonts w:cs="Arial"/>
                <w:b/>
                <w:bCs/>
                <w:sz w:val="20"/>
                <w:szCs w:val="20"/>
              </w:rPr>
              <w:t>6</w:t>
            </w:r>
          </w:p>
        </w:tc>
        <w:tc>
          <w:tcPr>
            <w:tcW w:w="1724"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Mexico</w:t>
            </w:r>
          </w:p>
        </w:tc>
        <w:tc>
          <w:tcPr>
            <w:tcW w:w="2430"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545</w:t>
            </w:r>
          </w:p>
        </w:tc>
      </w:tr>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r w:rsidRPr="004636B7">
              <w:rPr>
                <w:rFonts w:cs="Arial"/>
                <w:b/>
                <w:bCs/>
                <w:sz w:val="20"/>
                <w:szCs w:val="20"/>
              </w:rPr>
              <w:t>7</w:t>
            </w:r>
          </w:p>
        </w:tc>
        <w:tc>
          <w:tcPr>
            <w:tcW w:w="1724"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Australia</w:t>
            </w:r>
          </w:p>
        </w:tc>
        <w:tc>
          <w:tcPr>
            <w:tcW w:w="2430"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437</w:t>
            </w:r>
          </w:p>
        </w:tc>
      </w:tr>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rPr>
              <w:t>8</w:t>
            </w:r>
          </w:p>
        </w:tc>
        <w:tc>
          <w:tcPr>
            <w:tcW w:w="1724" w:type="dxa"/>
          </w:tcPr>
          <w:p w:rsidR="00BF3DA5" w:rsidRPr="004636B7" w:rsidRDefault="00BF3DA5" w:rsidP="00BF3DA5">
            <w:pPr>
              <w:autoSpaceDE w:val="0"/>
              <w:autoSpaceDN w:val="0"/>
              <w:adjustRightInd w:val="0"/>
              <w:rPr>
                <w:rFonts w:cs="Arial"/>
                <w:sz w:val="20"/>
                <w:szCs w:val="20"/>
              </w:rPr>
            </w:pPr>
            <w:r w:rsidRPr="004636B7">
              <w:rPr>
                <w:rFonts w:cs="Arial"/>
                <w:sz w:val="20"/>
                <w:szCs w:val="20"/>
              </w:rPr>
              <w:t xml:space="preserve">South Africa </w:t>
            </w:r>
          </w:p>
        </w:tc>
        <w:tc>
          <w:tcPr>
            <w:tcW w:w="2430" w:type="dxa"/>
          </w:tcPr>
          <w:p w:rsidR="00BF3DA5" w:rsidRPr="004636B7" w:rsidRDefault="00BF3DA5" w:rsidP="00BF3DA5">
            <w:pPr>
              <w:autoSpaceDE w:val="0"/>
              <w:autoSpaceDN w:val="0"/>
              <w:adjustRightInd w:val="0"/>
              <w:rPr>
                <w:rFonts w:cs="Arial"/>
                <w:sz w:val="20"/>
                <w:szCs w:val="20"/>
              </w:rPr>
            </w:pPr>
            <w:r w:rsidRPr="004636B7">
              <w:rPr>
                <w:rFonts w:cs="Arial"/>
                <w:sz w:val="20"/>
                <w:szCs w:val="20"/>
              </w:rPr>
              <w:t>390</w:t>
            </w:r>
          </w:p>
        </w:tc>
      </w:tr>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r w:rsidRPr="004636B7">
              <w:rPr>
                <w:rFonts w:cs="Arial"/>
                <w:b/>
                <w:bCs/>
                <w:sz w:val="20"/>
                <w:szCs w:val="20"/>
              </w:rPr>
              <w:t>9</w:t>
            </w:r>
          </w:p>
        </w:tc>
        <w:tc>
          <w:tcPr>
            <w:tcW w:w="1724"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lang w:val="fr-FR"/>
              </w:rPr>
              <w:t>Russia</w:t>
            </w:r>
          </w:p>
        </w:tc>
        <w:tc>
          <w:tcPr>
            <w:tcW w:w="2430" w:type="dxa"/>
          </w:tcPr>
          <w:p w:rsidR="00BF3DA5" w:rsidRPr="004636B7" w:rsidRDefault="00BF3DA5" w:rsidP="00BF3DA5">
            <w:pPr>
              <w:autoSpaceDE w:val="0"/>
              <w:autoSpaceDN w:val="0"/>
              <w:adjustRightInd w:val="0"/>
              <w:rPr>
                <w:rFonts w:cs="Arial"/>
                <w:sz w:val="20"/>
                <w:szCs w:val="20"/>
              </w:rPr>
            </w:pPr>
            <w:r w:rsidRPr="004636B7">
              <w:rPr>
                <w:rFonts w:cs="Arial"/>
                <w:sz w:val="20"/>
                <w:szCs w:val="20"/>
                <w:lang w:val="fr-FR"/>
              </w:rPr>
              <w:t>285</w:t>
            </w:r>
          </w:p>
        </w:tc>
      </w:tr>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r w:rsidRPr="004636B7">
              <w:rPr>
                <w:rFonts w:cs="Arial"/>
                <w:b/>
                <w:bCs/>
                <w:sz w:val="20"/>
                <w:szCs w:val="20"/>
              </w:rPr>
              <w:t>10</w:t>
            </w:r>
          </w:p>
        </w:tc>
        <w:tc>
          <w:tcPr>
            <w:tcW w:w="1724" w:type="dxa"/>
          </w:tcPr>
          <w:p w:rsidR="00BF3DA5" w:rsidRPr="004636B7" w:rsidRDefault="00BF3DA5" w:rsidP="00BF3DA5">
            <w:pPr>
              <w:autoSpaceDE w:val="0"/>
              <w:autoSpaceDN w:val="0"/>
              <w:adjustRightInd w:val="0"/>
              <w:rPr>
                <w:rFonts w:cs="Arial"/>
                <w:b/>
                <w:bCs/>
                <w:sz w:val="20"/>
                <w:szCs w:val="20"/>
              </w:rPr>
            </w:pPr>
            <w:r w:rsidRPr="004636B7">
              <w:rPr>
                <w:rFonts w:cs="Arial"/>
                <w:sz w:val="20"/>
                <w:szCs w:val="20"/>
                <w:lang w:val="fr-FR"/>
              </w:rPr>
              <w:t>Brazil</w:t>
            </w:r>
          </w:p>
        </w:tc>
        <w:tc>
          <w:tcPr>
            <w:tcW w:w="2430" w:type="dxa"/>
          </w:tcPr>
          <w:p w:rsidR="00BF3DA5" w:rsidRPr="004636B7" w:rsidRDefault="00BF3DA5" w:rsidP="00BF3DA5">
            <w:pPr>
              <w:autoSpaceDE w:val="0"/>
              <w:autoSpaceDN w:val="0"/>
              <w:adjustRightInd w:val="0"/>
              <w:rPr>
                <w:rFonts w:cs="Arial"/>
                <w:sz w:val="20"/>
                <w:szCs w:val="20"/>
              </w:rPr>
            </w:pPr>
            <w:r w:rsidRPr="004636B7">
              <w:rPr>
                <w:rFonts w:cs="Arial"/>
                <w:sz w:val="20"/>
                <w:szCs w:val="20"/>
                <w:lang w:val="fr-FR"/>
              </w:rPr>
              <w:t>245</w:t>
            </w:r>
          </w:p>
        </w:tc>
      </w:tr>
      <w:tr w:rsidR="00BF3DA5" w:rsidRPr="004636B7" w:rsidTr="00FC2E2E">
        <w:tc>
          <w:tcPr>
            <w:tcW w:w="937" w:type="dxa"/>
          </w:tcPr>
          <w:p w:rsidR="00BF3DA5" w:rsidRPr="004636B7" w:rsidRDefault="00BF3DA5" w:rsidP="00BF3DA5">
            <w:pPr>
              <w:autoSpaceDE w:val="0"/>
              <w:autoSpaceDN w:val="0"/>
              <w:adjustRightInd w:val="0"/>
              <w:rPr>
                <w:rFonts w:cs="Arial"/>
                <w:b/>
                <w:bCs/>
                <w:sz w:val="20"/>
                <w:szCs w:val="20"/>
              </w:rPr>
            </w:pPr>
          </w:p>
        </w:tc>
        <w:tc>
          <w:tcPr>
            <w:tcW w:w="1724" w:type="dxa"/>
          </w:tcPr>
          <w:p w:rsidR="00BF3DA5" w:rsidRPr="004636B7" w:rsidRDefault="00BF3DA5" w:rsidP="00BF3DA5">
            <w:pPr>
              <w:autoSpaceDE w:val="0"/>
              <w:autoSpaceDN w:val="0"/>
              <w:adjustRightInd w:val="0"/>
              <w:rPr>
                <w:rFonts w:cs="Arial"/>
                <w:sz w:val="20"/>
                <w:szCs w:val="20"/>
                <w:lang w:val="fr-FR"/>
              </w:rPr>
            </w:pPr>
            <w:r w:rsidRPr="004636B7">
              <w:rPr>
                <w:rFonts w:cs="Arial"/>
                <w:sz w:val="20"/>
                <w:szCs w:val="20"/>
                <w:lang w:val="fr-FR"/>
              </w:rPr>
              <w:t>World Total</w:t>
            </w:r>
          </w:p>
        </w:tc>
        <w:tc>
          <w:tcPr>
            <w:tcW w:w="2430" w:type="dxa"/>
          </w:tcPr>
          <w:p w:rsidR="00BF3DA5" w:rsidRPr="004636B7" w:rsidRDefault="00BF3DA5" w:rsidP="00BF3DA5">
            <w:pPr>
              <w:autoSpaceDE w:val="0"/>
              <w:autoSpaceDN w:val="0"/>
              <w:adjustRightInd w:val="0"/>
              <w:rPr>
                <w:rFonts w:cs="Arial"/>
                <w:sz w:val="20"/>
                <w:szCs w:val="20"/>
                <w:lang w:val="fr-FR"/>
              </w:rPr>
            </w:pPr>
            <w:r w:rsidRPr="004636B7">
              <w:rPr>
                <w:rFonts w:cs="Arial"/>
                <w:sz w:val="20"/>
                <w:szCs w:val="20"/>
                <w:lang w:val="fr-FR"/>
              </w:rPr>
              <w:t>7,299  (7,795)</w:t>
            </w:r>
          </w:p>
        </w:tc>
      </w:tr>
    </w:tbl>
    <w:p w:rsidR="00A62D3B" w:rsidRDefault="00BF3DA5" w:rsidP="00BF3DA5">
      <w:pPr>
        <w:spacing w:before="120" w:after="120" w:line="240" w:lineRule="auto"/>
        <w:rPr>
          <w:rFonts w:ascii="Calibri" w:hAnsi="Calibri" w:cs="Calibri"/>
          <w:color w:val="000000"/>
          <w:sz w:val="20"/>
          <w:szCs w:val="20"/>
        </w:rPr>
      </w:pPr>
      <w:r w:rsidRPr="00BF3DA5">
        <w:rPr>
          <w:rFonts w:ascii="Calibri" w:hAnsi="Calibri" w:cs="Calibri"/>
          <w:color w:val="000000"/>
          <w:sz w:val="20"/>
          <w:szCs w:val="20"/>
          <w:vertAlign w:val="superscript"/>
        </w:rPr>
        <w:t>1</w:t>
      </w:r>
      <w:r w:rsidRPr="00BF3DA5">
        <w:rPr>
          <w:rFonts w:ascii="Calibri" w:hAnsi="Calibri" w:cs="Calibri"/>
          <w:color w:val="000000"/>
          <w:sz w:val="20"/>
          <w:szCs w:val="20"/>
        </w:rPr>
        <w:t xml:space="preserve"> EIA estimates used for ranking order. ARI estimates in parentheses.</w:t>
      </w:r>
    </w:p>
    <w:p w:rsidR="00FC2E2E" w:rsidRDefault="00FC2E2E" w:rsidP="00BF3DA5">
      <w:pPr>
        <w:spacing w:before="120" w:after="120" w:line="240" w:lineRule="auto"/>
        <w:rPr>
          <w:rFonts w:ascii="Calibri" w:hAnsi="Calibri" w:cs="Calibri"/>
          <w:color w:val="000000"/>
          <w:sz w:val="20"/>
          <w:szCs w:val="20"/>
        </w:rPr>
      </w:pPr>
    </w:p>
    <w:p w:rsidR="00FC2E2E" w:rsidRPr="00FC2E2E" w:rsidRDefault="00FC2E2E" w:rsidP="00FC2E2E">
      <w:pPr>
        <w:spacing w:before="120" w:after="120" w:line="240" w:lineRule="auto"/>
        <w:rPr>
          <w:rFonts w:asciiTheme="minorHAnsi" w:hAnsiTheme="minorHAnsi" w:cstheme="minorHAnsi"/>
          <w:b/>
          <w:color w:val="4F81BD" w:themeColor="accent1"/>
        </w:rPr>
      </w:pPr>
      <w:r w:rsidRPr="00FC2E2E">
        <w:rPr>
          <w:rFonts w:asciiTheme="minorHAnsi" w:hAnsiTheme="minorHAnsi" w:cstheme="minorHAnsi"/>
          <w:b/>
          <w:bCs/>
          <w:color w:val="4F81BD" w:themeColor="accent1"/>
        </w:rPr>
        <w:t xml:space="preserve">Table 2. Risked Shale Gas In-Place and Technically Recoverable: Seven Continents </w:t>
      </w:r>
    </w:p>
    <w:p w:rsidR="00EA4392" w:rsidRDefault="00FC2E2E" w:rsidP="00BF3DA5">
      <w:pPr>
        <w:spacing w:before="120" w:after="120" w:line="240" w:lineRule="auto"/>
        <w:rPr>
          <w:rFonts w:ascii="Calibri" w:hAnsi="Calibri" w:cs="Calibri"/>
          <w:sz w:val="20"/>
          <w:szCs w:val="20"/>
        </w:rPr>
      </w:pPr>
      <w:r w:rsidRPr="00FC2E2E">
        <w:rPr>
          <w:rFonts w:ascii="Calibri" w:hAnsi="Calibri" w:cs="Calibri"/>
          <w:noProof/>
          <w:sz w:val="20"/>
          <w:szCs w:val="20"/>
          <w:lang w:val="fr-FR" w:eastAsia="fr-FR"/>
        </w:rPr>
        <w:drawing>
          <wp:inline distT="0" distB="0" distL="0" distR="0">
            <wp:extent cx="5619750" cy="3190875"/>
            <wp:effectExtent l="19050" t="19050" r="19050" b="28575"/>
            <wp:docPr id="10" name="Image 2"/>
            <wp:cNvGraphicFramePr/>
            <a:graphic xmlns:a="http://schemas.openxmlformats.org/drawingml/2006/main">
              <a:graphicData uri="http://schemas.openxmlformats.org/drawingml/2006/picture">
                <pic:pic xmlns:pic="http://schemas.openxmlformats.org/drawingml/2006/picture">
                  <pic:nvPicPr>
                    <pic:cNvPr id="11267" name="Picture 125"/>
                    <pic:cNvPicPr>
                      <a:picLocks noChangeAspect="1" noChangeArrowheads="1"/>
                    </pic:cNvPicPr>
                  </pic:nvPicPr>
                  <pic:blipFill>
                    <a:blip r:embed="rId8"/>
                    <a:srcRect l="992" r="1488"/>
                    <a:stretch>
                      <a:fillRect/>
                    </a:stretch>
                  </pic:blipFill>
                  <pic:spPr bwMode="auto">
                    <a:xfrm>
                      <a:off x="0" y="0"/>
                      <a:ext cx="5619750" cy="3190875"/>
                    </a:xfrm>
                    <a:prstGeom prst="rect">
                      <a:avLst/>
                    </a:prstGeom>
                    <a:noFill/>
                    <a:ln w="9525">
                      <a:solidFill>
                        <a:schemeClr val="tx1"/>
                      </a:solidFill>
                      <a:miter lim="800000"/>
                      <a:headEnd/>
                      <a:tailEnd/>
                    </a:ln>
                  </pic:spPr>
                </pic:pic>
              </a:graphicData>
            </a:graphic>
          </wp:inline>
        </w:drawing>
      </w:r>
    </w:p>
    <w:p w:rsidR="00FC2E2E" w:rsidRPr="00BF3DA5" w:rsidRDefault="00FC2E2E" w:rsidP="00BF3DA5">
      <w:pPr>
        <w:spacing w:before="120" w:after="120" w:line="240" w:lineRule="auto"/>
        <w:rPr>
          <w:rFonts w:ascii="Calibri" w:hAnsi="Calibri" w:cs="Calibri"/>
          <w:sz w:val="20"/>
          <w:szCs w:val="20"/>
        </w:rPr>
      </w:pPr>
    </w:p>
    <w:p w:rsidR="00BF3DA5" w:rsidRDefault="00EA4392" w:rsidP="008A7A02">
      <w:pPr>
        <w:spacing w:before="120" w:after="120" w:line="240" w:lineRule="auto"/>
        <w:rPr>
          <w:rFonts w:ascii="Z@R45B3.tmp" w:hAnsi="Z@R45B3.tmp" w:cs="Z@R45B3.tmp"/>
          <w:sz w:val="20"/>
          <w:szCs w:val="20"/>
        </w:rPr>
      </w:pPr>
      <w:r w:rsidRPr="00EA4392">
        <w:rPr>
          <w:noProof/>
          <w:szCs w:val="20"/>
          <w:lang w:val="fr-FR" w:eastAsia="fr-FR"/>
        </w:rPr>
        <w:drawing>
          <wp:inline distT="0" distB="0" distL="0" distR="0">
            <wp:extent cx="5760085" cy="3427443"/>
            <wp:effectExtent l="1905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60085" cy="3427443"/>
                    </a:xfrm>
                    <a:prstGeom prst="rect">
                      <a:avLst/>
                    </a:prstGeom>
                    <a:noFill/>
                    <a:ln w="9525">
                      <a:noFill/>
                      <a:miter lim="800000"/>
                      <a:headEnd/>
                      <a:tailEnd/>
                    </a:ln>
                  </pic:spPr>
                </pic:pic>
              </a:graphicData>
            </a:graphic>
          </wp:inline>
        </w:drawing>
      </w:r>
    </w:p>
    <w:p w:rsidR="00BF3DA5" w:rsidRDefault="00BF3DA5" w:rsidP="008A7A02">
      <w:pPr>
        <w:spacing w:before="120" w:after="120" w:line="240" w:lineRule="auto"/>
        <w:rPr>
          <w:rFonts w:ascii="Z@R45B3.tmp" w:hAnsi="Z@R45B3.tmp" w:cs="Z@R45B3.tmp"/>
          <w:sz w:val="20"/>
          <w:szCs w:val="20"/>
        </w:rPr>
      </w:pPr>
    </w:p>
    <w:p w:rsidR="00CD61D1" w:rsidRDefault="00CD61D1" w:rsidP="00CD61D1">
      <w:r w:rsidRPr="001A65F6">
        <w:rPr>
          <w:highlight w:val="yellow"/>
        </w:rPr>
        <w:t>Please write down a few paragraphs describing the job performed and its main conclusions.</w:t>
      </w:r>
    </w:p>
    <w:p w:rsidR="00CD61D1" w:rsidRDefault="004F2186" w:rsidP="00CD61D1">
      <w:pPr>
        <w:pStyle w:val="Titre2"/>
      </w:pPr>
      <w:bookmarkStart w:id="2" w:name="_Toc367360713"/>
      <w:r>
        <w:lastRenderedPageBreak/>
        <w:t xml:space="preserve">Petroleum </w:t>
      </w:r>
      <w:r w:rsidRPr="001C7611">
        <w:t>Resources Classification and Definition</w:t>
      </w:r>
      <w:r>
        <w:t>s</w:t>
      </w:r>
      <w:bookmarkEnd w:id="2"/>
    </w:p>
    <w:p w:rsidR="004F2186" w:rsidRPr="001C7611" w:rsidRDefault="004F2186" w:rsidP="004F2186">
      <w:pPr>
        <w:autoSpaceDE w:val="0"/>
        <w:autoSpaceDN w:val="0"/>
        <w:adjustRightInd w:val="0"/>
        <w:spacing w:before="120" w:after="120" w:line="240" w:lineRule="auto"/>
        <w:jc w:val="both"/>
        <w:rPr>
          <w:rFonts w:cs="Arial"/>
        </w:rPr>
      </w:pPr>
      <w:r w:rsidRPr="001C7611">
        <w:rPr>
          <w:rFonts w:cs="Arial"/>
        </w:rPr>
        <w:t>The resource classification system is summarized in Figure 1 and the relevant definitions are given below. Elsewhere, resources have been defined as including all quantities of petroleum which are estimated to be initially-in-place; however, some users consider only the estimated recoverable portion to constitute a resource. In these definitions, the quantities estimated to be initially-in-place are defined as Total Petroleum-initially-inplace, Discovered Petroleum-initially-in-place and Undiscovered Petroleum-initially-in-place, and the recoverable portions are defined separately as Reserves, Contingent Resources andProspective Resources. In any event, it should be understood that reserves constitute a subset of resources, being those quantities that are discovered (i.e. in known accumulations), recoverable, commercial and remaining.</w:t>
      </w:r>
    </w:p>
    <w:p w:rsidR="004F2186" w:rsidRPr="001C7611" w:rsidRDefault="004F2186" w:rsidP="004F2186">
      <w:pPr>
        <w:autoSpaceDE w:val="0"/>
        <w:autoSpaceDN w:val="0"/>
        <w:adjustRightInd w:val="0"/>
        <w:spacing w:before="120" w:after="120" w:line="240" w:lineRule="auto"/>
        <w:jc w:val="both"/>
        <w:rPr>
          <w:rFonts w:cs="Arial"/>
        </w:rPr>
      </w:pPr>
      <w:r w:rsidRPr="001C7611">
        <w:rPr>
          <w:rFonts w:cs="Arial"/>
          <w:b/>
          <w:bCs/>
        </w:rPr>
        <w:t>TOTAL PETROLEUM-INITIALLY-IN-PLACE</w:t>
      </w:r>
      <w:r w:rsidRPr="001C7611">
        <w:rPr>
          <w:rFonts w:cs="Arial"/>
        </w:rPr>
        <w:t>. Total Petroleum-initially-in-place is that</w:t>
      </w:r>
      <w:r>
        <w:rPr>
          <w:rFonts w:cs="Arial"/>
        </w:rPr>
        <w:t xml:space="preserve"> </w:t>
      </w:r>
      <w:r w:rsidRPr="001C7611">
        <w:rPr>
          <w:rFonts w:cs="Arial"/>
        </w:rPr>
        <w:t>quantity of petroleum which is estimated to exist originally in naturally occurring</w:t>
      </w:r>
      <w:r>
        <w:rPr>
          <w:rFonts w:cs="Arial"/>
        </w:rPr>
        <w:t xml:space="preserve"> </w:t>
      </w:r>
      <w:r w:rsidRPr="001C7611">
        <w:rPr>
          <w:rFonts w:cs="Arial"/>
        </w:rPr>
        <w:t>accumulations. Total Petroleum-initially-in-place is, therefore, that quantity of petroleum</w:t>
      </w:r>
      <w:r>
        <w:rPr>
          <w:rFonts w:cs="Arial"/>
        </w:rPr>
        <w:t xml:space="preserve"> </w:t>
      </w:r>
      <w:r w:rsidRPr="001C7611">
        <w:rPr>
          <w:rFonts w:cs="Arial"/>
        </w:rPr>
        <w:t>which is estimated, on a given date, to be contained in known accumulations, plus those</w:t>
      </w:r>
      <w:r>
        <w:rPr>
          <w:rFonts w:cs="Arial"/>
        </w:rPr>
        <w:t xml:space="preserve"> </w:t>
      </w:r>
      <w:r w:rsidRPr="001C7611">
        <w:rPr>
          <w:rFonts w:cs="Arial"/>
        </w:rPr>
        <w:t>quantities already produced therefrom, plus those estimated quantities in accumulations yet to</w:t>
      </w:r>
      <w:r>
        <w:rPr>
          <w:rFonts w:cs="Arial"/>
        </w:rPr>
        <w:t xml:space="preserve"> </w:t>
      </w:r>
      <w:r w:rsidRPr="001C7611">
        <w:rPr>
          <w:rFonts w:cs="Arial"/>
        </w:rPr>
        <w:t>be discovered. Total Petroleum-initially-in-place may be subdivided into Discovered</w:t>
      </w:r>
      <w:r>
        <w:rPr>
          <w:rFonts w:cs="Arial"/>
        </w:rPr>
        <w:t xml:space="preserve"> </w:t>
      </w:r>
      <w:r w:rsidRPr="001C7611">
        <w:rPr>
          <w:rFonts w:cs="Arial"/>
        </w:rPr>
        <w:t>Petroleum-initially-in-place and Undiscovered Petroleum-initially-in-place, with Discovered</w:t>
      </w:r>
      <w:r>
        <w:rPr>
          <w:rFonts w:cs="Arial"/>
        </w:rPr>
        <w:t xml:space="preserve"> </w:t>
      </w:r>
      <w:r w:rsidRPr="001C7611">
        <w:rPr>
          <w:rFonts w:cs="Arial"/>
        </w:rPr>
        <w:t>Petroleum-initially-in-place being limited to known accumulations.</w:t>
      </w:r>
    </w:p>
    <w:p w:rsidR="004F2186" w:rsidRPr="00B34D09" w:rsidRDefault="004F2186" w:rsidP="004F2186">
      <w:pPr>
        <w:autoSpaceDE w:val="0"/>
        <w:autoSpaceDN w:val="0"/>
        <w:adjustRightInd w:val="0"/>
        <w:spacing w:before="120" w:after="120" w:line="240" w:lineRule="auto"/>
        <w:jc w:val="both"/>
        <w:rPr>
          <w:rFonts w:cs="Arial"/>
        </w:rPr>
      </w:pPr>
      <w:r w:rsidRPr="001C7611">
        <w:rPr>
          <w:rFonts w:cs="Arial"/>
        </w:rPr>
        <w:t>It is recognized that all Petroleum-initially-in-place quantities may constitute potentially</w:t>
      </w:r>
      <w:r>
        <w:rPr>
          <w:rFonts w:cs="Arial"/>
        </w:rPr>
        <w:t xml:space="preserve"> </w:t>
      </w:r>
      <w:r w:rsidRPr="001C7611">
        <w:rPr>
          <w:rFonts w:cs="Arial"/>
        </w:rPr>
        <w:t xml:space="preserve">recoverable resources since the </w:t>
      </w:r>
      <w:r w:rsidRPr="00B34D09">
        <w:rPr>
          <w:rFonts w:cs="Arial"/>
        </w:rPr>
        <w:t>estimation of the proportion which may be recoverable can be subject to significant uncertainty and will change with variations in commercial circumstances, technological developments and data availability. A portion of those quantities classified as Unrecoverable may become recoverable resources in the future as commercial circumstances change, technological developments occur, or additional data are acquired.</w:t>
      </w:r>
    </w:p>
    <w:p w:rsidR="004F2186" w:rsidRPr="00B34D09" w:rsidRDefault="004F2186" w:rsidP="004F2186">
      <w:pPr>
        <w:autoSpaceDE w:val="0"/>
        <w:autoSpaceDN w:val="0"/>
        <w:adjustRightInd w:val="0"/>
        <w:spacing w:before="120" w:after="120" w:line="240" w:lineRule="auto"/>
        <w:jc w:val="both"/>
        <w:rPr>
          <w:rFonts w:cs="Arial"/>
        </w:rPr>
      </w:pPr>
      <w:r w:rsidRPr="00B34D09">
        <w:rPr>
          <w:rFonts w:cs="Arial"/>
          <w:b/>
          <w:bCs/>
        </w:rPr>
        <w:t xml:space="preserve">DISCOVERED PETROLEUM-INITIALLY-IN-PLACE. </w:t>
      </w:r>
      <w:r w:rsidRPr="00B34D09">
        <w:rPr>
          <w:rFonts w:cs="Arial"/>
        </w:rPr>
        <w:t>Discovered Petroleum-initiallyin-place is that quantity of petroleum which is estimated, on a given date, to be contained in known accumulations, plus those quantities already produced therefrom. Discovered Petroleum-initially-in-place may be subdivided into Commercial and Sub-commercial categories, with the estimated potentially recoverable portion being classified as Reserves and Contingent Resources respectively, as defined below.</w:t>
      </w:r>
    </w:p>
    <w:p w:rsidR="004F2186" w:rsidRPr="00B34D09" w:rsidRDefault="004F2186" w:rsidP="004F2186">
      <w:pPr>
        <w:autoSpaceDE w:val="0"/>
        <w:autoSpaceDN w:val="0"/>
        <w:adjustRightInd w:val="0"/>
        <w:spacing w:before="120" w:after="120" w:line="240" w:lineRule="auto"/>
        <w:jc w:val="both"/>
        <w:rPr>
          <w:rFonts w:cs="Arial"/>
        </w:rPr>
      </w:pPr>
      <w:r w:rsidRPr="00B34D09">
        <w:rPr>
          <w:rFonts w:cs="Arial"/>
          <w:b/>
          <w:bCs/>
        </w:rPr>
        <w:t xml:space="preserve">RESERVES. </w:t>
      </w:r>
      <w:r w:rsidRPr="00B34D09">
        <w:rPr>
          <w:rFonts w:cs="Arial"/>
        </w:rPr>
        <w:t>Reserves are defined as those quantities of petroleum which are anticipated to be commercially recovered from known accumulations from a given date forward. Reference should be made to the full SPE/WPC Petroleum Reserves Definitions for the complete definitions and guidelines. Estimated recoverable quantities from known accumulations which do not fulfil the requirement of commerciality should be classified as Contingent Resources, as defined below. The definition of commerciality for an accumulation will vary according tolocal conditions and circumstances and is left to the discretion of the country or company concerned. However, reserves must still be categorized according to the specific criteria of the SPE/WPC definitions and therefore proved reserves will be limited to those quantities that are commercial under current economic conditions, while probable and possible reserves may be based on future economic conditions. In general, quantities should not be classified as reserves unless there is an expectation that the accumulation will be developed and placed on production within a reasonable timeframe. In certain circumstances, reserves may be assigned even though development may not occur for some time. An example of this would be where fields are dedicated to a long-term supply contract and will only be developed as and when they are required to satisfy that contract.</w:t>
      </w:r>
    </w:p>
    <w:p w:rsidR="004F2186" w:rsidRPr="00B34D09" w:rsidRDefault="004F2186" w:rsidP="004F2186">
      <w:pPr>
        <w:autoSpaceDE w:val="0"/>
        <w:autoSpaceDN w:val="0"/>
        <w:adjustRightInd w:val="0"/>
        <w:spacing w:before="120" w:after="120" w:line="240" w:lineRule="auto"/>
        <w:jc w:val="both"/>
        <w:rPr>
          <w:rFonts w:cs="Arial"/>
        </w:rPr>
      </w:pPr>
      <w:r w:rsidRPr="00B34D09">
        <w:rPr>
          <w:rFonts w:cs="Arial"/>
          <w:b/>
          <w:bCs/>
        </w:rPr>
        <w:lastRenderedPageBreak/>
        <w:t xml:space="preserve">CONTINGENT RESOURCES. </w:t>
      </w:r>
      <w:r w:rsidRPr="00B34D09">
        <w:rPr>
          <w:rFonts w:cs="Arial"/>
        </w:rPr>
        <w:t>Contingent Resources are those quantities of petroleum which are estimated, on a given date, to be potentially recoverable from known accumulations, but which are not currently considered to be commercially recoverable.</w:t>
      </w:r>
      <w:r>
        <w:rPr>
          <w:rFonts w:cs="Arial"/>
        </w:rPr>
        <w:t xml:space="preserve"> </w:t>
      </w:r>
      <w:r w:rsidRPr="00B34D09">
        <w:rPr>
          <w:rFonts w:cs="Arial"/>
        </w:rPr>
        <w:t>It is recognized that some ambiguity may exist between the definitions of contingent resources and unproved reserves. This is a reflection of variations in current industry</w:t>
      </w:r>
      <w:r>
        <w:rPr>
          <w:rFonts w:cs="Arial"/>
        </w:rPr>
        <w:t xml:space="preserve"> </w:t>
      </w:r>
      <w:r w:rsidRPr="00B34D09">
        <w:rPr>
          <w:rFonts w:cs="Arial"/>
        </w:rPr>
        <w:t>practice. It is recommended that if the degree of commitment is not such that the</w:t>
      </w:r>
      <w:r>
        <w:rPr>
          <w:rFonts w:cs="Arial"/>
        </w:rPr>
        <w:t xml:space="preserve"> </w:t>
      </w:r>
      <w:r w:rsidRPr="00B34D09">
        <w:rPr>
          <w:rFonts w:cs="Arial"/>
        </w:rPr>
        <w:t>accumulation is expected to be developed and placed on production within a</w:t>
      </w:r>
      <w:r>
        <w:rPr>
          <w:rFonts w:cs="Arial"/>
        </w:rPr>
        <w:t xml:space="preserve"> </w:t>
      </w:r>
      <w:r w:rsidRPr="00B34D09">
        <w:rPr>
          <w:rFonts w:cs="Arial"/>
        </w:rPr>
        <w:t>reasonable timeframe, the estimated recoverable volumes for the accumulation be</w:t>
      </w:r>
      <w:r>
        <w:rPr>
          <w:rFonts w:cs="Arial"/>
        </w:rPr>
        <w:t xml:space="preserve"> </w:t>
      </w:r>
      <w:r w:rsidRPr="00B34D09">
        <w:rPr>
          <w:rFonts w:cs="Arial"/>
        </w:rPr>
        <w:t>classified as contingent resources.</w:t>
      </w:r>
      <w:r>
        <w:rPr>
          <w:rFonts w:cs="Arial"/>
        </w:rPr>
        <w:t xml:space="preserve"> </w:t>
      </w:r>
      <w:r w:rsidRPr="00B34D09">
        <w:rPr>
          <w:rFonts w:cs="Arial"/>
        </w:rPr>
        <w:t>Contingent Resources may include, for example, accumulations for which there is</w:t>
      </w:r>
      <w:r>
        <w:rPr>
          <w:rFonts w:cs="Arial"/>
        </w:rPr>
        <w:t xml:space="preserve"> </w:t>
      </w:r>
      <w:r w:rsidRPr="00B34D09">
        <w:rPr>
          <w:rFonts w:cs="Arial"/>
        </w:rPr>
        <w:t>currently no viable market, or where commercial recovery is dependent on the</w:t>
      </w:r>
      <w:r>
        <w:rPr>
          <w:rFonts w:cs="Arial"/>
        </w:rPr>
        <w:t xml:space="preserve"> </w:t>
      </w:r>
      <w:r w:rsidRPr="00B34D09">
        <w:rPr>
          <w:rFonts w:cs="Arial"/>
        </w:rPr>
        <w:t>development of new technology, or where evaluation of the accumulation is still at an</w:t>
      </w:r>
      <w:r>
        <w:rPr>
          <w:rFonts w:cs="Arial"/>
        </w:rPr>
        <w:t xml:space="preserve"> </w:t>
      </w:r>
      <w:r w:rsidRPr="00B34D09">
        <w:rPr>
          <w:rFonts w:cs="Arial"/>
        </w:rPr>
        <w:t>early stage.</w:t>
      </w:r>
    </w:p>
    <w:p w:rsidR="004F2186" w:rsidRPr="00B34D09" w:rsidRDefault="004F2186" w:rsidP="004F2186">
      <w:pPr>
        <w:autoSpaceDE w:val="0"/>
        <w:autoSpaceDN w:val="0"/>
        <w:adjustRightInd w:val="0"/>
        <w:spacing w:before="120" w:after="120" w:line="240" w:lineRule="auto"/>
        <w:jc w:val="both"/>
        <w:rPr>
          <w:rFonts w:cs="Arial"/>
        </w:rPr>
      </w:pPr>
      <w:r w:rsidRPr="00B34D09">
        <w:rPr>
          <w:rFonts w:cs="Arial"/>
          <w:b/>
          <w:bCs/>
        </w:rPr>
        <w:t xml:space="preserve">UNDISCOVERED PETROLEUM-INITIALLY-IN-PLACE. </w:t>
      </w:r>
      <w:r w:rsidRPr="00B34D09">
        <w:rPr>
          <w:rFonts w:cs="Arial"/>
        </w:rPr>
        <w:t>Undiscovered Petroleuminitially-in-place is that quantity of petroleum which is estimated, on a given date, to be</w:t>
      </w:r>
      <w:r>
        <w:rPr>
          <w:rFonts w:cs="Arial"/>
        </w:rPr>
        <w:t xml:space="preserve"> </w:t>
      </w:r>
      <w:r w:rsidRPr="00B34D09">
        <w:rPr>
          <w:rFonts w:cs="Arial"/>
        </w:rPr>
        <w:t>contained in accumulations yet to be discovered. The estimated potentially recoverable</w:t>
      </w:r>
      <w:r>
        <w:rPr>
          <w:rFonts w:cs="Arial"/>
        </w:rPr>
        <w:t xml:space="preserve"> </w:t>
      </w:r>
      <w:r w:rsidRPr="00B34D09">
        <w:rPr>
          <w:rFonts w:cs="Arial"/>
        </w:rPr>
        <w:t>portion of Undiscovered Petroleum-initially-in-place is classified as Prospective Resources, as</w:t>
      </w:r>
      <w:r>
        <w:rPr>
          <w:rFonts w:cs="Arial"/>
        </w:rPr>
        <w:t xml:space="preserve"> </w:t>
      </w:r>
      <w:r w:rsidRPr="00B34D09">
        <w:rPr>
          <w:rFonts w:cs="Arial"/>
        </w:rPr>
        <w:t>defined below.</w:t>
      </w:r>
    </w:p>
    <w:p w:rsidR="004F2186" w:rsidRPr="00B34D09" w:rsidRDefault="004F2186" w:rsidP="004F2186">
      <w:pPr>
        <w:autoSpaceDE w:val="0"/>
        <w:autoSpaceDN w:val="0"/>
        <w:adjustRightInd w:val="0"/>
        <w:spacing w:before="120" w:after="120" w:line="240" w:lineRule="auto"/>
        <w:jc w:val="both"/>
        <w:rPr>
          <w:rFonts w:cs="Arial"/>
        </w:rPr>
      </w:pPr>
      <w:r w:rsidRPr="00B34D09">
        <w:rPr>
          <w:rFonts w:cs="Arial"/>
          <w:b/>
          <w:bCs/>
        </w:rPr>
        <w:t xml:space="preserve">PROSPECTIVE RESOURCES. </w:t>
      </w:r>
      <w:r w:rsidRPr="00B34D09">
        <w:rPr>
          <w:rFonts w:cs="Arial"/>
        </w:rPr>
        <w:t>Prospective Resources are those quantities of</w:t>
      </w:r>
      <w:r>
        <w:rPr>
          <w:rFonts w:cs="Arial"/>
        </w:rPr>
        <w:t xml:space="preserve"> </w:t>
      </w:r>
      <w:r w:rsidRPr="00B34D09">
        <w:rPr>
          <w:rFonts w:cs="Arial"/>
        </w:rPr>
        <w:t>petroleum which are estimated, on a given date, to be potentially recoverable from</w:t>
      </w:r>
      <w:r>
        <w:rPr>
          <w:rFonts w:cs="Arial"/>
        </w:rPr>
        <w:t xml:space="preserve"> </w:t>
      </w:r>
      <w:r w:rsidRPr="00B34D09">
        <w:rPr>
          <w:rFonts w:cs="Arial"/>
        </w:rPr>
        <w:t>undiscovered accumulations.</w:t>
      </w:r>
    </w:p>
    <w:p w:rsidR="004F2186" w:rsidRPr="00B34D09" w:rsidRDefault="004F2186" w:rsidP="004F2186">
      <w:pPr>
        <w:autoSpaceDE w:val="0"/>
        <w:autoSpaceDN w:val="0"/>
        <w:adjustRightInd w:val="0"/>
        <w:spacing w:before="120" w:after="120" w:line="240" w:lineRule="auto"/>
        <w:jc w:val="both"/>
        <w:rPr>
          <w:rFonts w:cs="Arial"/>
        </w:rPr>
      </w:pPr>
      <w:r w:rsidRPr="00B34D09">
        <w:rPr>
          <w:rFonts w:cs="Arial"/>
          <w:b/>
          <w:bCs/>
        </w:rPr>
        <w:t xml:space="preserve">ESTIMATED ULTIMATE RECOVERY. </w:t>
      </w:r>
      <w:r w:rsidRPr="00B34D09">
        <w:rPr>
          <w:rFonts w:cs="Arial"/>
        </w:rPr>
        <w:t>Estimated Ultimate Recovery (EUR) is not a</w:t>
      </w:r>
      <w:r>
        <w:rPr>
          <w:rFonts w:cs="Arial"/>
        </w:rPr>
        <w:t xml:space="preserve"> </w:t>
      </w:r>
      <w:r w:rsidRPr="00B34D09">
        <w:rPr>
          <w:rFonts w:cs="Arial"/>
        </w:rPr>
        <w:t>resource category as such, but a term which may be applied to an individual accumulation of</w:t>
      </w:r>
      <w:r>
        <w:rPr>
          <w:rFonts w:cs="Arial"/>
        </w:rPr>
        <w:t xml:space="preserve"> </w:t>
      </w:r>
      <w:r w:rsidRPr="00B34D09">
        <w:rPr>
          <w:rFonts w:cs="Arial"/>
        </w:rPr>
        <w:t>any status/maturity (discovered or undiscovered). Estimated Ultimate Recovery is defined as</w:t>
      </w:r>
      <w:r>
        <w:rPr>
          <w:rFonts w:cs="Arial"/>
        </w:rPr>
        <w:t xml:space="preserve"> </w:t>
      </w:r>
      <w:r w:rsidRPr="00B34D09">
        <w:rPr>
          <w:rFonts w:cs="Arial"/>
        </w:rPr>
        <w:t>those quantities of petroleum which are estimated, on a given date, to be potentially</w:t>
      </w:r>
      <w:r>
        <w:rPr>
          <w:rFonts w:cs="Arial"/>
        </w:rPr>
        <w:t xml:space="preserve"> </w:t>
      </w:r>
      <w:r w:rsidRPr="00B34D09">
        <w:rPr>
          <w:rFonts w:cs="Arial"/>
        </w:rPr>
        <w:t>recoverable from an accumulation, plus those quantities already produced therefrom.</w:t>
      </w:r>
      <w:r>
        <w:rPr>
          <w:rFonts w:cs="Arial"/>
        </w:rPr>
        <w:t xml:space="preserve"> </w:t>
      </w:r>
      <w:r w:rsidRPr="00B34D09">
        <w:rPr>
          <w:rFonts w:cs="Arial"/>
          <w:b/>
          <w:bCs/>
        </w:rPr>
        <w:t xml:space="preserve">AGGREGATION. </w:t>
      </w:r>
      <w:r w:rsidRPr="00B34D09">
        <w:rPr>
          <w:rFonts w:cs="Arial"/>
        </w:rPr>
        <w:t>Petroleum quantities classified as Reserves, Contingent Resources or</w:t>
      </w:r>
      <w:r>
        <w:rPr>
          <w:rFonts w:cs="Arial"/>
        </w:rPr>
        <w:t xml:space="preserve"> </w:t>
      </w:r>
      <w:r w:rsidRPr="00B34D09">
        <w:rPr>
          <w:rFonts w:cs="Arial"/>
        </w:rPr>
        <w:t>Prospective Resources should not be aggregated with each other without due consideration of</w:t>
      </w:r>
      <w:r>
        <w:rPr>
          <w:rFonts w:cs="Arial"/>
        </w:rPr>
        <w:t xml:space="preserve"> </w:t>
      </w:r>
      <w:r w:rsidRPr="00B34D09">
        <w:rPr>
          <w:rFonts w:cs="Arial"/>
        </w:rPr>
        <w:t>the significant differences in the criteria associated with their classification. In particular,</w:t>
      </w:r>
      <w:r>
        <w:rPr>
          <w:rFonts w:cs="Arial"/>
        </w:rPr>
        <w:t xml:space="preserve"> </w:t>
      </w:r>
      <w:r w:rsidRPr="00B34D09">
        <w:rPr>
          <w:rFonts w:cs="Arial"/>
        </w:rPr>
        <w:t>there may be a significant risk that accumulations containing Contingent Resources or</w:t>
      </w:r>
      <w:r>
        <w:rPr>
          <w:rFonts w:cs="Arial"/>
        </w:rPr>
        <w:t xml:space="preserve"> </w:t>
      </w:r>
      <w:r w:rsidRPr="00B34D09">
        <w:rPr>
          <w:rFonts w:cs="Arial"/>
        </w:rPr>
        <w:t>Prospective Resources will not achieve commercial production.</w:t>
      </w:r>
    </w:p>
    <w:p w:rsidR="004F2186" w:rsidRDefault="004F2186" w:rsidP="004F2186">
      <w:pPr>
        <w:autoSpaceDE w:val="0"/>
        <w:autoSpaceDN w:val="0"/>
        <w:adjustRightInd w:val="0"/>
        <w:spacing w:before="120" w:after="120" w:line="240" w:lineRule="auto"/>
        <w:jc w:val="both"/>
        <w:rPr>
          <w:rFonts w:cs="Arial"/>
        </w:rPr>
      </w:pPr>
      <w:r w:rsidRPr="00B34D09">
        <w:rPr>
          <w:rFonts w:cs="Arial"/>
          <w:b/>
          <w:bCs/>
        </w:rPr>
        <w:t xml:space="preserve">RANGE OF UNCERTAINTY. </w:t>
      </w:r>
      <w:r w:rsidRPr="00B34D09">
        <w:rPr>
          <w:rFonts w:cs="Arial"/>
        </w:rPr>
        <w:t>The Range of Uncertainty, as shown in Figure 1, reflects a</w:t>
      </w:r>
      <w:r>
        <w:rPr>
          <w:rFonts w:cs="Arial"/>
        </w:rPr>
        <w:t xml:space="preserve"> </w:t>
      </w:r>
      <w:r w:rsidRPr="00B34D09">
        <w:rPr>
          <w:rFonts w:cs="Arial"/>
        </w:rPr>
        <w:t>reasonable range of estimated potentially recoverable volumes for an individual accumulation.</w:t>
      </w:r>
      <w:r>
        <w:rPr>
          <w:rFonts w:cs="Arial"/>
        </w:rPr>
        <w:t xml:space="preserve"> </w:t>
      </w:r>
      <w:r w:rsidRPr="00B34D09">
        <w:rPr>
          <w:rFonts w:cs="Arial"/>
        </w:rPr>
        <w:t>Any estimation of resource quantities for an accumulation is subject to both technical and</w:t>
      </w:r>
      <w:r>
        <w:rPr>
          <w:rFonts w:cs="Arial"/>
        </w:rPr>
        <w:t xml:space="preserve"> </w:t>
      </w:r>
      <w:r w:rsidRPr="00B34D09">
        <w:rPr>
          <w:rFonts w:cs="Arial"/>
        </w:rPr>
        <w:t>commercial uncertainties, and should, in general, be quoted as a range. In the case of reserves,</w:t>
      </w:r>
      <w:r>
        <w:rPr>
          <w:rFonts w:cs="Arial"/>
        </w:rPr>
        <w:t xml:space="preserve"> </w:t>
      </w:r>
      <w:r w:rsidRPr="00B34D09">
        <w:rPr>
          <w:rFonts w:cs="Arial"/>
        </w:rPr>
        <w:t>and where appropriate, this range of uncertainty can be reflected in estimates for Proved</w:t>
      </w:r>
      <w:r>
        <w:rPr>
          <w:rFonts w:cs="Arial"/>
        </w:rPr>
        <w:t xml:space="preserve"> </w:t>
      </w:r>
      <w:r w:rsidRPr="00B34D09">
        <w:rPr>
          <w:rFonts w:cs="Arial"/>
        </w:rPr>
        <w:t>Reserves (1P), Proved plus Probable Reserves (2P) and Proved plus Probable plus Possible</w:t>
      </w:r>
      <w:r>
        <w:rPr>
          <w:rFonts w:cs="Arial"/>
        </w:rPr>
        <w:t xml:space="preserve"> </w:t>
      </w:r>
      <w:r w:rsidRPr="00B34D09">
        <w:rPr>
          <w:rFonts w:cs="Arial"/>
        </w:rPr>
        <w:t>Reserves (3P) scenarios. For other resource categories, the terms Low Estimate, Best Estimate</w:t>
      </w:r>
      <w:r>
        <w:rPr>
          <w:rFonts w:cs="Arial"/>
        </w:rPr>
        <w:t xml:space="preserve"> </w:t>
      </w:r>
      <w:r w:rsidRPr="00B34D09">
        <w:rPr>
          <w:rFonts w:cs="Arial"/>
        </w:rPr>
        <w:t>and High Estimate are recommended.</w:t>
      </w:r>
      <w:r>
        <w:rPr>
          <w:rFonts w:cs="Arial"/>
        </w:rPr>
        <w:t xml:space="preserve"> </w:t>
      </w:r>
      <w:r w:rsidRPr="00B34D09">
        <w:rPr>
          <w:rFonts w:cs="Arial"/>
        </w:rPr>
        <w:t>The term "Best Estimate" is used here as a generic expression for the estimate considered to</w:t>
      </w:r>
      <w:r>
        <w:rPr>
          <w:rFonts w:cs="Arial"/>
        </w:rPr>
        <w:t xml:space="preserve"> </w:t>
      </w:r>
      <w:r w:rsidRPr="00B34D09">
        <w:rPr>
          <w:rFonts w:cs="Arial"/>
        </w:rPr>
        <w:t>be the closest to the quantity that will actually be recovered from the accumulation between</w:t>
      </w:r>
      <w:r>
        <w:rPr>
          <w:rFonts w:cs="Arial"/>
        </w:rPr>
        <w:t xml:space="preserve"> </w:t>
      </w:r>
      <w:r w:rsidRPr="00B34D09">
        <w:rPr>
          <w:rFonts w:cs="Arial"/>
        </w:rPr>
        <w:t>the date of the estimate and the time of abandonment. If probabilistic methods are used, this</w:t>
      </w:r>
      <w:r>
        <w:rPr>
          <w:rFonts w:cs="Arial"/>
        </w:rPr>
        <w:t xml:space="preserve"> </w:t>
      </w:r>
      <w:r w:rsidRPr="00B34D09">
        <w:rPr>
          <w:rFonts w:cs="Arial"/>
        </w:rPr>
        <w:t>term would generally be a measure of central tendency of the uncertainty distribution (most</w:t>
      </w:r>
      <w:r>
        <w:rPr>
          <w:rFonts w:cs="Arial"/>
        </w:rPr>
        <w:t xml:space="preserve"> </w:t>
      </w:r>
      <w:r w:rsidRPr="00B34D09">
        <w:rPr>
          <w:rFonts w:cs="Arial"/>
        </w:rPr>
        <w:t>likely/mode, median/P50 or mean). The terms "Low Estimate" and "High Estimate" should</w:t>
      </w:r>
      <w:r>
        <w:rPr>
          <w:rFonts w:cs="Arial"/>
        </w:rPr>
        <w:t xml:space="preserve"> </w:t>
      </w:r>
      <w:r w:rsidRPr="00B34D09">
        <w:rPr>
          <w:rFonts w:cs="Arial"/>
        </w:rPr>
        <w:t>provide a reasonable assessment of the range of uncertainty in the Best Estimate.</w:t>
      </w:r>
      <w:r>
        <w:rPr>
          <w:rFonts w:cs="Arial"/>
        </w:rPr>
        <w:t xml:space="preserve"> </w:t>
      </w:r>
      <w:r w:rsidRPr="00B34D09">
        <w:rPr>
          <w:rFonts w:cs="Arial"/>
        </w:rPr>
        <w:t>For undiscovered accumulations (Prospective Resources) the range will, in general, be</w:t>
      </w:r>
      <w:r>
        <w:rPr>
          <w:rFonts w:cs="Arial"/>
        </w:rPr>
        <w:t xml:space="preserve"> </w:t>
      </w:r>
      <w:r w:rsidRPr="00B34D09">
        <w:rPr>
          <w:rFonts w:cs="Arial"/>
        </w:rPr>
        <w:t>substantially greater than the ranges for discovered accumulations. In all cases, however, the</w:t>
      </w:r>
      <w:r>
        <w:rPr>
          <w:rFonts w:cs="Arial"/>
        </w:rPr>
        <w:t xml:space="preserve"> </w:t>
      </w:r>
      <w:r w:rsidRPr="00B34D09">
        <w:rPr>
          <w:rFonts w:cs="Arial"/>
        </w:rPr>
        <w:t>actual range will be dependent on the amount and quality of data (both technical and</w:t>
      </w:r>
      <w:r>
        <w:rPr>
          <w:rFonts w:cs="Arial"/>
        </w:rPr>
        <w:t xml:space="preserve"> </w:t>
      </w:r>
      <w:r w:rsidRPr="00B34D09">
        <w:rPr>
          <w:rFonts w:cs="Arial"/>
        </w:rPr>
        <w:t>commercial) which is available for that accumulation. As more data become available for a</w:t>
      </w:r>
      <w:r>
        <w:rPr>
          <w:rFonts w:cs="Arial"/>
        </w:rPr>
        <w:t xml:space="preserve"> </w:t>
      </w:r>
      <w:r w:rsidRPr="00B34D09">
        <w:rPr>
          <w:rFonts w:cs="Arial"/>
        </w:rPr>
        <w:t>specific accumulation (e.g. additional wells, reservoir performance data) the range of</w:t>
      </w:r>
      <w:r>
        <w:rPr>
          <w:rFonts w:cs="Arial"/>
        </w:rPr>
        <w:t xml:space="preserve"> </w:t>
      </w:r>
      <w:r w:rsidRPr="00B34D09">
        <w:rPr>
          <w:rFonts w:cs="Arial"/>
        </w:rPr>
        <w:t>uncertainty in EUR for that accumulation should be reduced.</w:t>
      </w:r>
    </w:p>
    <w:p w:rsidR="004F2186" w:rsidRPr="00B34D09" w:rsidRDefault="004F2186" w:rsidP="004F2186">
      <w:pPr>
        <w:autoSpaceDE w:val="0"/>
        <w:autoSpaceDN w:val="0"/>
        <w:adjustRightInd w:val="0"/>
        <w:spacing w:before="120" w:after="120" w:line="240" w:lineRule="auto"/>
        <w:jc w:val="both"/>
        <w:rPr>
          <w:rFonts w:cs="Arial"/>
        </w:rPr>
      </w:pPr>
    </w:p>
    <w:p w:rsidR="004F2186" w:rsidRPr="00B34D09" w:rsidRDefault="004F2186" w:rsidP="004F2186">
      <w:pPr>
        <w:autoSpaceDE w:val="0"/>
        <w:autoSpaceDN w:val="0"/>
        <w:adjustRightInd w:val="0"/>
        <w:spacing w:before="120" w:after="120" w:line="240" w:lineRule="auto"/>
        <w:jc w:val="both"/>
        <w:rPr>
          <w:rFonts w:cs="Arial"/>
          <w:b/>
          <w:bCs/>
        </w:rPr>
      </w:pPr>
      <w:r w:rsidRPr="00B34D09">
        <w:rPr>
          <w:rFonts w:cs="Arial"/>
          <w:b/>
          <w:bCs/>
        </w:rPr>
        <w:t>RESOURCES CLASSIFICATION SYSTEM</w:t>
      </w:r>
    </w:p>
    <w:p w:rsidR="004F2186" w:rsidRDefault="004F2186" w:rsidP="004F2186">
      <w:pPr>
        <w:autoSpaceDE w:val="0"/>
        <w:autoSpaceDN w:val="0"/>
        <w:adjustRightInd w:val="0"/>
        <w:spacing w:before="120" w:after="120" w:line="240" w:lineRule="auto"/>
        <w:jc w:val="both"/>
        <w:rPr>
          <w:rFonts w:cs="Arial"/>
        </w:rPr>
      </w:pPr>
      <w:r w:rsidRPr="00B34D09">
        <w:rPr>
          <w:rFonts w:cs="Arial"/>
        </w:rPr>
        <w:t>Figure 1 is a graphical representation of the definitions. The horizontal axis represents the</w:t>
      </w:r>
      <w:r>
        <w:rPr>
          <w:rFonts w:cs="Arial"/>
        </w:rPr>
        <w:t xml:space="preserve"> </w:t>
      </w:r>
      <w:r w:rsidRPr="00B34D09">
        <w:rPr>
          <w:rFonts w:cs="Arial"/>
        </w:rPr>
        <w:t>range of uncertainty in the estimated potentially recoverable volume for an accumulation,</w:t>
      </w:r>
      <w:r>
        <w:rPr>
          <w:rFonts w:cs="Arial"/>
        </w:rPr>
        <w:t xml:space="preserve"> </w:t>
      </w:r>
      <w:r w:rsidRPr="00B34D09">
        <w:rPr>
          <w:rFonts w:cs="Arial"/>
        </w:rPr>
        <w:t>whereas the vertical axis represents the level of status/maturity of the accumulation. Many</w:t>
      </w:r>
      <w:r>
        <w:rPr>
          <w:rFonts w:cs="Arial"/>
        </w:rPr>
        <w:t xml:space="preserve"> </w:t>
      </w:r>
      <w:r w:rsidRPr="00B34D09">
        <w:rPr>
          <w:rFonts w:cs="Arial"/>
        </w:rPr>
        <w:t>organizations choose to further sub-divide each resource category using the vertical axis to</w:t>
      </w:r>
      <w:r>
        <w:rPr>
          <w:rFonts w:cs="Arial"/>
        </w:rPr>
        <w:t xml:space="preserve"> </w:t>
      </w:r>
      <w:r w:rsidRPr="00B34D09">
        <w:rPr>
          <w:rFonts w:cs="Arial"/>
        </w:rPr>
        <w:t>classify accumulations on the basis of the commercial decisions required to move an</w:t>
      </w:r>
      <w:r>
        <w:rPr>
          <w:rFonts w:cs="Arial"/>
        </w:rPr>
        <w:t xml:space="preserve"> </w:t>
      </w:r>
      <w:r w:rsidRPr="00B34D09">
        <w:rPr>
          <w:rFonts w:cs="Arial"/>
        </w:rPr>
        <w:t>accumulation towards production.</w:t>
      </w:r>
      <w:r>
        <w:rPr>
          <w:rFonts w:cs="Arial"/>
        </w:rPr>
        <w:t xml:space="preserve"> </w:t>
      </w:r>
      <w:r w:rsidRPr="00B34D09">
        <w:rPr>
          <w:rFonts w:cs="Arial"/>
        </w:rPr>
        <w:t>As indicated in Figure 1, the Low, Best and High Estimates of potentially recoverable</w:t>
      </w:r>
      <w:r>
        <w:rPr>
          <w:rFonts w:cs="Arial"/>
        </w:rPr>
        <w:t xml:space="preserve"> </w:t>
      </w:r>
      <w:r w:rsidRPr="00B34D09">
        <w:rPr>
          <w:rFonts w:cs="Arial"/>
        </w:rPr>
        <w:t>volumes should reflect some comparability with the reserves categories of Proved, Proved</w:t>
      </w:r>
      <w:r>
        <w:rPr>
          <w:rFonts w:cs="Arial"/>
        </w:rPr>
        <w:t xml:space="preserve"> </w:t>
      </w:r>
      <w:r w:rsidRPr="00B34D09">
        <w:rPr>
          <w:rFonts w:cs="Arial"/>
        </w:rPr>
        <w:t>plus Probable and Proved plus Probable plus Possible, respectively. While there may be a</w:t>
      </w:r>
      <w:r>
        <w:rPr>
          <w:rFonts w:cs="Arial"/>
        </w:rPr>
        <w:t xml:space="preserve"> </w:t>
      </w:r>
      <w:r w:rsidRPr="00B34D09">
        <w:rPr>
          <w:rFonts w:cs="Arial"/>
        </w:rPr>
        <w:t>significant risk that sub-commercial or undiscovered accumulations will not achieve</w:t>
      </w:r>
      <w:r>
        <w:rPr>
          <w:rFonts w:cs="Arial"/>
        </w:rPr>
        <w:t xml:space="preserve"> </w:t>
      </w:r>
      <w:r w:rsidRPr="00B34D09">
        <w:rPr>
          <w:rFonts w:cs="Arial"/>
        </w:rPr>
        <w:t>commercial production, it is useful to consider the range of potentially recoverable volumes</w:t>
      </w:r>
      <w:r>
        <w:rPr>
          <w:rFonts w:cs="Arial"/>
        </w:rPr>
        <w:t xml:space="preserve"> </w:t>
      </w:r>
      <w:r w:rsidRPr="00B34D09">
        <w:rPr>
          <w:rFonts w:cs="Arial"/>
        </w:rPr>
        <w:t>independently of such a risk.</w:t>
      </w:r>
      <w:r>
        <w:rPr>
          <w:rFonts w:cs="Arial"/>
        </w:rPr>
        <w:t xml:space="preserve"> </w:t>
      </w:r>
      <w:r w:rsidRPr="00B34D09">
        <w:rPr>
          <w:rFonts w:cs="Arial"/>
        </w:rPr>
        <w:t>If probabilistic methods are used, these estimated quantities should be based on</w:t>
      </w:r>
      <w:r>
        <w:rPr>
          <w:rFonts w:cs="Arial"/>
        </w:rPr>
        <w:t xml:space="preserve"> </w:t>
      </w:r>
      <w:r w:rsidRPr="00B34D09">
        <w:rPr>
          <w:rFonts w:cs="Arial"/>
        </w:rPr>
        <w:t>methodologies analogous to those applicable to the definitions of reserves; therefore, in</w:t>
      </w:r>
      <w:r>
        <w:rPr>
          <w:rFonts w:cs="Arial"/>
        </w:rPr>
        <w:t xml:space="preserve"> </w:t>
      </w:r>
      <w:r w:rsidRPr="00B34D09">
        <w:rPr>
          <w:rFonts w:cs="Arial"/>
        </w:rPr>
        <w:t>general, there should be at least a 90% probability that, assuming the accumulation is</w:t>
      </w:r>
      <w:r>
        <w:rPr>
          <w:rFonts w:cs="Arial"/>
        </w:rPr>
        <w:t xml:space="preserve"> </w:t>
      </w:r>
      <w:r w:rsidRPr="00B34D09">
        <w:rPr>
          <w:rFonts w:cs="Arial"/>
        </w:rPr>
        <w:t>developed, the quantities actually recovered will equal or exceed the Low Estimate. In</w:t>
      </w:r>
      <w:r>
        <w:rPr>
          <w:rFonts w:cs="Arial"/>
        </w:rPr>
        <w:t xml:space="preserve"> </w:t>
      </w:r>
      <w:r w:rsidRPr="00B34D09">
        <w:rPr>
          <w:rFonts w:cs="Arial"/>
        </w:rPr>
        <w:t>addition, an equivalent probability value of 10% should, in general, be used for the High</w:t>
      </w:r>
      <w:r>
        <w:rPr>
          <w:rFonts w:cs="Arial"/>
        </w:rPr>
        <w:t xml:space="preserve"> </w:t>
      </w:r>
      <w:r w:rsidRPr="00B34D09">
        <w:rPr>
          <w:rFonts w:cs="Arial"/>
        </w:rPr>
        <w:t>Estimate. Where deterministic methods are used, a similar analogy to the reserves definitions</w:t>
      </w:r>
      <w:r>
        <w:rPr>
          <w:rFonts w:cs="Arial"/>
        </w:rPr>
        <w:t xml:space="preserve"> </w:t>
      </w:r>
      <w:r w:rsidRPr="00B34D09">
        <w:rPr>
          <w:rFonts w:cs="Arial"/>
        </w:rPr>
        <w:t>should be followed.</w:t>
      </w:r>
      <w:r>
        <w:rPr>
          <w:rFonts w:cs="Arial"/>
        </w:rPr>
        <w:t xml:space="preserve"> </w:t>
      </w:r>
      <w:r w:rsidRPr="00B34D09">
        <w:rPr>
          <w:rFonts w:cs="Arial"/>
        </w:rPr>
        <w:t>As one possible example, consider an accumulation that is currently not commercial due</w:t>
      </w:r>
      <w:r>
        <w:rPr>
          <w:rFonts w:cs="Arial"/>
        </w:rPr>
        <w:t xml:space="preserve"> </w:t>
      </w:r>
      <w:r w:rsidRPr="00B34D09">
        <w:rPr>
          <w:rFonts w:cs="Arial"/>
        </w:rPr>
        <w:t>solely to the lack of a market. The estimated recoverable volumes are classified as Contingent</w:t>
      </w:r>
      <w:r>
        <w:rPr>
          <w:rFonts w:cs="Arial"/>
        </w:rPr>
        <w:t xml:space="preserve"> </w:t>
      </w:r>
      <w:r w:rsidRPr="00B34D09">
        <w:rPr>
          <w:rFonts w:cs="Arial"/>
        </w:rPr>
        <w:t>Resources, with Low, Best and High estimates. Where a market is subsequently developed,</w:t>
      </w:r>
      <w:r>
        <w:rPr>
          <w:rFonts w:cs="Arial"/>
        </w:rPr>
        <w:t xml:space="preserve"> </w:t>
      </w:r>
      <w:r w:rsidRPr="00B34D09">
        <w:rPr>
          <w:rFonts w:cs="Arial"/>
        </w:rPr>
        <w:t>and in the absence of any new technical data, the accumulation moves up into the Reserves</w:t>
      </w:r>
      <w:r>
        <w:rPr>
          <w:rFonts w:cs="Arial"/>
        </w:rPr>
        <w:t xml:space="preserve"> </w:t>
      </w:r>
      <w:r w:rsidRPr="00B34D09">
        <w:rPr>
          <w:rFonts w:cs="Arial"/>
        </w:rPr>
        <w:t>category and the Proved Reserves estimate would be expected to approximate the previous</w:t>
      </w:r>
      <w:r>
        <w:rPr>
          <w:rFonts w:cs="Arial"/>
        </w:rPr>
        <w:t xml:space="preserve"> </w:t>
      </w:r>
      <w:r w:rsidRPr="00B34D09">
        <w:rPr>
          <w:rFonts w:cs="Arial"/>
        </w:rPr>
        <w:t>Low Estimate.</w:t>
      </w:r>
    </w:p>
    <w:p w:rsidR="004F2186" w:rsidRPr="00B34D09" w:rsidRDefault="004F2186" w:rsidP="004F2186">
      <w:pPr>
        <w:autoSpaceDE w:val="0"/>
        <w:autoSpaceDN w:val="0"/>
        <w:adjustRightInd w:val="0"/>
        <w:spacing w:before="120" w:after="120" w:line="240" w:lineRule="auto"/>
        <w:jc w:val="both"/>
        <w:rPr>
          <w:rFonts w:cs="Arial"/>
        </w:rPr>
      </w:pPr>
    </w:p>
    <w:p w:rsidR="004F2186" w:rsidRPr="00B34D09" w:rsidRDefault="004F2186" w:rsidP="004F2186">
      <w:pPr>
        <w:autoSpaceDE w:val="0"/>
        <w:autoSpaceDN w:val="0"/>
        <w:adjustRightInd w:val="0"/>
        <w:spacing w:after="0" w:line="240" w:lineRule="auto"/>
        <w:jc w:val="both"/>
        <w:rPr>
          <w:rFonts w:cs="Arial"/>
          <w:i/>
          <w:iCs/>
        </w:rPr>
      </w:pPr>
      <w:r w:rsidRPr="00B34D09">
        <w:rPr>
          <w:rFonts w:cs="Arial"/>
          <w:i/>
          <w:iCs/>
        </w:rPr>
        <w:t>Approved by the Board of Directors, Society of Petroleum Engineers (SPE) Inc., the</w:t>
      </w:r>
    </w:p>
    <w:p w:rsidR="004F2186" w:rsidRPr="00B34D09" w:rsidRDefault="004F2186" w:rsidP="004F2186">
      <w:pPr>
        <w:autoSpaceDE w:val="0"/>
        <w:autoSpaceDN w:val="0"/>
        <w:adjustRightInd w:val="0"/>
        <w:spacing w:after="0" w:line="240" w:lineRule="auto"/>
        <w:jc w:val="both"/>
        <w:rPr>
          <w:rFonts w:cs="Arial"/>
          <w:i/>
          <w:iCs/>
        </w:rPr>
      </w:pPr>
      <w:r w:rsidRPr="00B34D09">
        <w:rPr>
          <w:rFonts w:cs="Arial"/>
          <w:i/>
          <w:iCs/>
        </w:rPr>
        <w:t>Executive Board, World Petroleum Congresses (WPC), and the Executive Committee,</w:t>
      </w:r>
    </w:p>
    <w:p w:rsidR="004F2186" w:rsidRPr="00B34D09" w:rsidRDefault="004F2186" w:rsidP="004F2186">
      <w:pPr>
        <w:autoSpaceDE w:val="0"/>
        <w:autoSpaceDN w:val="0"/>
        <w:adjustRightInd w:val="0"/>
        <w:spacing w:before="120" w:after="120" w:line="240" w:lineRule="auto"/>
        <w:ind w:left="357"/>
        <w:jc w:val="both"/>
        <w:rPr>
          <w:rFonts w:cs="Arial"/>
          <w:color w:val="C00000"/>
        </w:rPr>
      </w:pPr>
      <w:r w:rsidRPr="00B34D09">
        <w:rPr>
          <w:rFonts w:cs="Arial"/>
          <w:i/>
          <w:iCs/>
        </w:rPr>
        <w:t>American Association of Petroleum Geologists (AAPG), February 2000</w:t>
      </w:r>
    </w:p>
    <w:p w:rsidR="00BD1614" w:rsidRDefault="00BD1614" w:rsidP="00BC52D3">
      <w:pPr>
        <w:autoSpaceDE w:val="0"/>
        <w:autoSpaceDN w:val="0"/>
        <w:adjustRightInd w:val="0"/>
        <w:spacing w:before="120" w:after="120" w:line="240" w:lineRule="auto"/>
        <w:rPr>
          <w:rFonts w:cs="Arial"/>
        </w:rPr>
      </w:pPr>
    </w:p>
    <w:p w:rsidR="00E647CC" w:rsidRDefault="00E647CC" w:rsidP="00CD61D1"/>
    <w:p w:rsidR="004F2186" w:rsidRDefault="004F2186">
      <w:pPr>
        <w:rPr>
          <w:rFonts w:eastAsiaTheme="majorEastAsia" w:cstheme="majorBidi"/>
          <w:b/>
          <w:bCs/>
          <w:sz w:val="28"/>
          <w:szCs w:val="26"/>
        </w:rPr>
      </w:pPr>
      <w:r>
        <w:br w:type="page"/>
      </w:r>
    </w:p>
    <w:p w:rsidR="00CD61D1" w:rsidRDefault="0068049E" w:rsidP="00CD61D1">
      <w:pPr>
        <w:pStyle w:val="Titre2"/>
      </w:pPr>
      <w:bookmarkStart w:id="3" w:name="_Toc367360714"/>
      <w:r w:rsidRPr="0068049E">
        <w:lastRenderedPageBreak/>
        <w:t>Conventional Gas: Remaining reserve and resource assessment</w:t>
      </w:r>
      <w:bookmarkEnd w:id="3"/>
    </w:p>
    <w:p w:rsidR="0068049E" w:rsidRDefault="0068049E" w:rsidP="0068049E">
      <w:pPr>
        <w:pStyle w:val="Titre3"/>
        <w:jc w:val="both"/>
      </w:pPr>
      <w:bookmarkStart w:id="4" w:name="_Toc367360715"/>
      <w:r>
        <w:t>Definitions</w:t>
      </w:r>
      <w:r w:rsidR="00003D44">
        <w:t xml:space="preserve"> &amp;</w:t>
      </w:r>
      <w:r w:rsidR="00003D44" w:rsidRPr="00003D44">
        <w:rPr>
          <w:lang w:val="en-GB"/>
        </w:rPr>
        <w:t xml:space="preserve"> characteristics</w:t>
      </w:r>
      <w:bookmarkEnd w:id="4"/>
    </w:p>
    <w:p w:rsidR="00E647CC" w:rsidRDefault="00683C35" w:rsidP="00CD61D1">
      <w:r w:rsidRPr="00683C35">
        <w:rPr>
          <w:b/>
        </w:rPr>
        <w:t>Conventional Reservoirs</w:t>
      </w:r>
      <w:r w:rsidRPr="00683C35">
        <w:t xml:space="preserve"> are reservoirs that</w:t>
      </w:r>
      <w:r>
        <w:t xml:space="preserve"> can be produced at economic </w:t>
      </w:r>
      <w:r w:rsidR="000F0077">
        <w:t xml:space="preserve">flow </w:t>
      </w:r>
      <w:r>
        <w:t>rates and that will produce economic volumes of oil and gas without massive stimulation treatments, special recovery processes or leading-edge technology.</w:t>
      </w:r>
    </w:p>
    <w:p w:rsidR="00003D44" w:rsidRDefault="00003D44" w:rsidP="00003D44">
      <w:pPr>
        <w:pStyle w:val="Titre3"/>
        <w:jc w:val="both"/>
      </w:pPr>
      <w:bookmarkStart w:id="5" w:name="_Toc367360716"/>
      <w:r w:rsidRPr="00003D44">
        <w:rPr>
          <w:lang w:val="en-GB"/>
        </w:rPr>
        <w:t>The global potential of Conventional gas</w:t>
      </w:r>
      <w:bookmarkEnd w:id="5"/>
    </w:p>
    <w:p w:rsidR="00D24DB8" w:rsidRPr="00003D44" w:rsidRDefault="007C193B" w:rsidP="00003D44">
      <w:pPr>
        <w:numPr>
          <w:ilvl w:val="1"/>
          <w:numId w:val="15"/>
        </w:numPr>
        <w:rPr>
          <w:lang w:val="fr-FR"/>
        </w:rPr>
      </w:pPr>
      <w:r w:rsidRPr="00003D44">
        <w:rPr>
          <w:lang w:val="en-GB"/>
        </w:rPr>
        <w:t xml:space="preserve">Regional trends, </w:t>
      </w:r>
    </w:p>
    <w:p w:rsidR="00D24DB8" w:rsidRPr="00003D44" w:rsidRDefault="007C193B" w:rsidP="00003D44">
      <w:pPr>
        <w:numPr>
          <w:ilvl w:val="2"/>
          <w:numId w:val="15"/>
        </w:numPr>
        <w:rPr>
          <w:lang w:val="fr-FR"/>
        </w:rPr>
      </w:pPr>
      <w:r w:rsidRPr="00003D44">
        <w:rPr>
          <w:lang w:val="en-GB"/>
        </w:rPr>
        <w:t>Middle East and North Africa</w:t>
      </w:r>
    </w:p>
    <w:p w:rsidR="00D24DB8" w:rsidRPr="00003D44" w:rsidRDefault="007C193B" w:rsidP="00003D44">
      <w:pPr>
        <w:numPr>
          <w:ilvl w:val="2"/>
          <w:numId w:val="15"/>
        </w:numPr>
        <w:rPr>
          <w:lang w:val="fr-FR"/>
        </w:rPr>
      </w:pPr>
      <w:r w:rsidRPr="00003D44">
        <w:rPr>
          <w:lang w:val="en-GB"/>
        </w:rPr>
        <w:t>North America</w:t>
      </w:r>
    </w:p>
    <w:p w:rsidR="00D24DB8" w:rsidRPr="00003D44" w:rsidRDefault="007C193B" w:rsidP="00003D44">
      <w:pPr>
        <w:numPr>
          <w:ilvl w:val="2"/>
          <w:numId w:val="15"/>
        </w:numPr>
        <w:rPr>
          <w:lang w:val="fr-FR"/>
        </w:rPr>
      </w:pPr>
      <w:r w:rsidRPr="00003D44">
        <w:rPr>
          <w:lang w:val="en-GB"/>
        </w:rPr>
        <w:t>Europe</w:t>
      </w:r>
    </w:p>
    <w:p w:rsidR="00D24DB8" w:rsidRPr="00003D44" w:rsidRDefault="007C193B" w:rsidP="00003D44">
      <w:pPr>
        <w:numPr>
          <w:ilvl w:val="2"/>
          <w:numId w:val="15"/>
        </w:numPr>
        <w:rPr>
          <w:lang w:val="fr-FR"/>
        </w:rPr>
      </w:pPr>
      <w:r w:rsidRPr="00003D44">
        <w:rPr>
          <w:lang w:val="en-GB"/>
        </w:rPr>
        <w:t xml:space="preserve">South America and </w:t>
      </w:r>
      <w:r w:rsidRPr="00003D44">
        <w:rPr>
          <w:lang w:val="en-GB"/>
        </w:rPr>
        <w:t>Caribbean</w:t>
      </w:r>
    </w:p>
    <w:p w:rsidR="00D24DB8" w:rsidRPr="00003D44" w:rsidRDefault="007C193B" w:rsidP="00003D44">
      <w:pPr>
        <w:numPr>
          <w:ilvl w:val="2"/>
          <w:numId w:val="15"/>
        </w:numPr>
        <w:rPr>
          <w:lang w:val="fr-FR"/>
        </w:rPr>
      </w:pPr>
      <w:r w:rsidRPr="00003D44">
        <w:rPr>
          <w:lang w:val="en-GB"/>
        </w:rPr>
        <w:t>Asia Pacific and South Asia</w:t>
      </w:r>
    </w:p>
    <w:p w:rsidR="00D24DB8" w:rsidRPr="00003D44" w:rsidRDefault="007C193B" w:rsidP="00003D44">
      <w:pPr>
        <w:numPr>
          <w:ilvl w:val="2"/>
          <w:numId w:val="15"/>
        </w:numPr>
        <w:rPr>
          <w:lang w:val="fr-FR"/>
        </w:rPr>
      </w:pPr>
      <w:r w:rsidRPr="00003D44">
        <w:rPr>
          <w:lang w:val="en-GB"/>
        </w:rPr>
        <w:t>Sub-Sahara Africa</w:t>
      </w:r>
    </w:p>
    <w:p w:rsidR="00D24DB8" w:rsidRPr="00003D44" w:rsidRDefault="007C193B" w:rsidP="00003D44">
      <w:pPr>
        <w:numPr>
          <w:ilvl w:val="2"/>
          <w:numId w:val="15"/>
        </w:numPr>
        <w:rPr>
          <w:lang w:val="fr-FR"/>
        </w:rPr>
      </w:pPr>
      <w:r w:rsidRPr="00003D44">
        <w:rPr>
          <w:lang w:val="en-GB"/>
        </w:rPr>
        <w:t>Russia and Central Asia</w:t>
      </w:r>
    </w:p>
    <w:p w:rsidR="00003D44" w:rsidRPr="00683C35" w:rsidRDefault="00003D44" w:rsidP="00CD61D1"/>
    <w:p w:rsidR="00FC4A1C" w:rsidRDefault="00FC4A1C" w:rsidP="004721A6">
      <w:pPr>
        <w:ind w:firstLine="720"/>
      </w:pPr>
    </w:p>
    <w:p w:rsidR="0068049E" w:rsidRDefault="0068049E" w:rsidP="0068049E">
      <w:pPr>
        <w:pStyle w:val="Titre2"/>
      </w:pPr>
      <w:bookmarkStart w:id="6" w:name="_Toc367360717"/>
      <w:r w:rsidRPr="0068049E">
        <w:t>Unconventional gases (tight, shale gas, CBM, hydrates): reserve and resource assessment</w:t>
      </w:r>
      <w:bookmarkEnd w:id="6"/>
    </w:p>
    <w:p w:rsidR="005B0815" w:rsidRDefault="005B0815" w:rsidP="00EE6E7E">
      <w:pPr>
        <w:pStyle w:val="Titre3"/>
        <w:numPr>
          <w:ilvl w:val="0"/>
          <w:numId w:val="0"/>
        </w:numPr>
        <w:jc w:val="both"/>
      </w:pPr>
      <w:bookmarkStart w:id="7" w:name="_Toc367360718"/>
      <w:r>
        <w:t>Definitions</w:t>
      </w:r>
      <w:bookmarkEnd w:id="7"/>
    </w:p>
    <w:p w:rsidR="00EF3551" w:rsidRDefault="00551C45" w:rsidP="00EA2301">
      <w:pPr>
        <w:autoSpaceDE w:val="0"/>
        <w:autoSpaceDN w:val="0"/>
        <w:adjustRightInd w:val="0"/>
        <w:spacing w:before="120" w:after="120" w:line="240" w:lineRule="auto"/>
        <w:jc w:val="both"/>
      </w:pPr>
      <w:r w:rsidRPr="00551C45">
        <w:rPr>
          <w:rFonts w:cs="Arial"/>
          <w:b/>
          <w:bCs/>
          <w:color w:val="000000"/>
        </w:rPr>
        <w:t>Unconventional reservoirs</w:t>
      </w:r>
      <w:r w:rsidRPr="00EA2301">
        <w:rPr>
          <w:rFonts w:cs="Arial"/>
          <w:b/>
          <w:bCs/>
          <w:color w:val="000000"/>
        </w:rPr>
        <w:t xml:space="preserve"> </w:t>
      </w:r>
      <w:r w:rsidR="0090611A">
        <w:rPr>
          <w:rFonts w:cs="Arial"/>
        </w:rPr>
        <w:t xml:space="preserve">are the reservoirs that cannot be </w:t>
      </w:r>
      <w:r w:rsidR="0090611A">
        <w:t xml:space="preserve">produced at economic flow rates or that do not produce economic volumes of oil and gas without assistance from massive stimulation treatments or special recovery processes and technologies, such as horizontal drilling and hydraulic fracturing. </w:t>
      </w:r>
    </w:p>
    <w:p w:rsidR="006F5B60" w:rsidRDefault="00EF3551" w:rsidP="00EF3551">
      <w:pPr>
        <w:autoSpaceDE w:val="0"/>
        <w:autoSpaceDN w:val="0"/>
        <w:adjustRightInd w:val="0"/>
        <w:spacing w:before="120" w:after="120" w:line="240" w:lineRule="auto"/>
        <w:jc w:val="both"/>
        <w:rPr>
          <w:rFonts w:cs="Arial"/>
          <w:color w:val="000000"/>
        </w:rPr>
      </w:pPr>
      <w:r w:rsidRPr="00EF3551">
        <w:t xml:space="preserve">The three most common types of unconventional gas resources are </w:t>
      </w:r>
      <w:r w:rsidRPr="00003D44">
        <w:rPr>
          <w:b/>
        </w:rPr>
        <w:t>tight sands, coalbed methane (CBM),</w:t>
      </w:r>
      <w:r w:rsidRPr="00EF3551">
        <w:t xml:space="preserve"> and gas shales.</w:t>
      </w:r>
      <w:r w:rsidR="006F5B60" w:rsidRPr="006F5B60">
        <w:rPr>
          <w:rFonts w:cs="Arial"/>
          <w:color w:val="000000"/>
        </w:rPr>
        <w:t xml:space="preserve"> Due to the low permeability of these formations, it is necessary to stimulate the reservoir by creating a fracture network to give enough surface area to allow sufficient production from the additional</w:t>
      </w:r>
      <w:r w:rsidR="00EA2301" w:rsidRPr="00EA2301">
        <w:rPr>
          <w:rFonts w:cs="Arial"/>
          <w:color w:val="000000"/>
        </w:rPr>
        <w:t xml:space="preserve"> "</w:t>
      </w:r>
      <w:r w:rsidR="006F5B60" w:rsidRPr="006F5B60">
        <w:rPr>
          <w:rFonts w:cs="Arial"/>
          <w:color w:val="000000"/>
        </w:rPr>
        <w:t>enhanced</w:t>
      </w:r>
      <w:r w:rsidR="00EA2301" w:rsidRPr="00EA2301">
        <w:rPr>
          <w:rFonts w:cs="Arial"/>
          <w:color w:val="000000"/>
        </w:rPr>
        <w:t xml:space="preserve">" </w:t>
      </w:r>
      <w:r w:rsidR="006F5B60" w:rsidRPr="006F5B60">
        <w:rPr>
          <w:rFonts w:cs="Arial"/>
          <w:color w:val="000000"/>
        </w:rPr>
        <w:t xml:space="preserve">reservoir permeability. </w:t>
      </w:r>
    </w:p>
    <w:p w:rsidR="005127B7" w:rsidRPr="003A286F" w:rsidRDefault="005127B7" w:rsidP="00F94AA4">
      <w:pPr>
        <w:autoSpaceDE w:val="0"/>
        <w:autoSpaceDN w:val="0"/>
        <w:adjustRightInd w:val="0"/>
        <w:spacing w:before="120" w:after="120" w:line="240" w:lineRule="auto"/>
        <w:ind w:left="357"/>
        <w:jc w:val="both"/>
        <w:rPr>
          <w:rFonts w:cs="Arial"/>
          <w:color w:val="C00000"/>
        </w:rPr>
      </w:pPr>
    </w:p>
    <w:p w:rsidR="00B83692" w:rsidRDefault="00B83692" w:rsidP="00B83692">
      <w:pPr>
        <w:pStyle w:val="Titre3"/>
        <w:jc w:val="both"/>
      </w:pPr>
      <w:bookmarkStart w:id="8" w:name="_Toc367360719"/>
      <w:r>
        <w:t>Tight gas</w:t>
      </w:r>
      <w:bookmarkEnd w:id="8"/>
    </w:p>
    <w:p w:rsidR="005127B7" w:rsidRDefault="005127B7" w:rsidP="005127B7">
      <w:pPr>
        <w:pStyle w:val="Titre4"/>
      </w:pPr>
      <w:r>
        <w:t>Definitions</w:t>
      </w:r>
      <w:r w:rsidRPr="00A47028">
        <w:t xml:space="preserve"> and concepts</w:t>
      </w:r>
    </w:p>
    <w:p w:rsidR="005127B7" w:rsidRPr="005127B7" w:rsidRDefault="005127B7" w:rsidP="005127B7">
      <w:pPr>
        <w:autoSpaceDE w:val="0"/>
        <w:autoSpaceDN w:val="0"/>
        <w:adjustRightInd w:val="0"/>
        <w:spacing w:before="120" w:after="120" w:line="240" w:lineRule="auto"/>
        <w:jc w:val="both"/>
        <w:rPr>
          <w:rFonts w:cs="Arial"/>
          <w:color w:val="000000"/>
        </w:rPr>
      </w:pPr>
      <w:r w:rsidRPr="005127B7">
        <w:rPr>
          <w:rFonts w:cs="Arial"/>
          <w:b/>
          <w:color w:val="000000"/>
        </w:rPr>
        <w:t>Tight Gas</w:t>
      </w:r>
      <w:r w:rsidRPr="005127B7">
        <w:rPr>
          <w:rFonts w:cs="Arial"/>
          <w:color w:val="000000"/>
        </w:rPr>
        <w:t xml:space="preserve"> : Natural gas produced </w:t>
      </w:r>
      <w:r w:rsidRPr="00EA2301">
        <w:t xml:space="preserve">from </w:t>
      </w:r>
      <w:r w:rsidRPr="005127B7">
        <w:rPr>
          <w:rFonts w:cs="Arial"/>
          <w:color w:val="000000"/>
        </w:rPr>
        <w:t xml:space="preserve">reservoir rocks with such low permeability that massive hydraulic fracturing is necessary to produce the well at economic rates. </w:t>
      </w:r>
      <w:r w:rsidRPr="00EA2301">
        <w:t xml:space="preserve">The gas is </w:t>
      </w:r>
      <w:r w:rsidRPr="00EA2301">
        <w:lastRenderedPageBreak/>
        <w:t xml:space="preserve">sourced outside the reservoir and migrates into the reservoir over geological time. Some Tight Gas reservoirs have also been found to be sourced by underlying coal and </w:t>
      </w:r>
      <w:r w:rsidRPr="00690FE3">
        <w:t>shale</w:t>
      </w:r>
      <w:r>
        <w:t>s</w:t>
      </w:r>
      <w:r w:rsidRPr="00690FE3">
        <w:t xml:space="preserve"> source rocks, in the so-called Basin Centred Gas (BCG) accumulations.</w:t>
      </w:r>
    </w:p>
    <w:p w:rsidR="005127B7" w:rsidRPr="00AC2F9C" w:rsidRDefault="005127B7" w:rsidP="005127B7">
      <w:pPr>
        <w:autoSpaceDE w:val="0"/>
        <w:autoSpaceDN w:val="0"/>
        <w:adjustRightInd w:val="0"/>
        <w:spacing w:before="120" w:after="120" w:line="240" w:lineRule="auto"/>
        <w:jc w:val="both"/>
        <w:rPr>
          <w:rFonts w:cs="Arial"/>
          <w:color w:val="000000"/>
        </w:rPr>
      </w:pPr>
      <w:r w:rsidRPr="00AC2F9C">
        <w:rPr>
          <w:rFonts w:cs="Arial"/>
          <w:color w:val="000000"/>
        </w:rPr>
        <w:t>Tight gas reservoirs</w:t>
      </w:r>
      <w:r w:rsidRPr="00902BE3">
        <w:t xml:space="preserve"> </w:t>
      </w:r>
      <w:r w:rsidRPr="00AC2F9C">
        <w:rPr>
          <w:rFonts w:cs="Arial"/>
          <w:color w:val="000000"/>
        </w:rPr>
        <w:t>can be of any kind: clastics, carbonates and igneous rocks, they are generally defined as having less than 0.1 millidarcy (mD) matrix permeability and less than ten percent matrix porosity.</w:t>
      </w:r>
      <w:r>
        <w:rPr>
          <w:rFonts w:cs="Arial"/>
          <w:color w:val="000000"/>
        </w:rPr>
        <w:t xml:space="preserve"> </w:t>
      </w:r>
      <w:r w:rsidRPr="00AC2F9C">
        <w:rPr>
          <w:rFonts w:cs="Arial"/>
          <w:color w:val="000000"/>
        </w:rPr>
        <w:t>Rock parameters are controlled by depositional and post-depositional environments:</w:t>
      </w:r>
    </w:p>
    <w:p w:rsidR="005127B7" w:rsidRPr="00AC2F9C" w:rsidRDefault="005127B7" w:rsidP="005127B7">
      <w:pPr>
        <w:pStyle w:val="Paragraphedeliste"/>
        <w:numPr>
          <w:ilvl w:val="0"/>
          <w:numId w:val="12"/>
        </w:numPr>
        <w:autoSpaceDE w:val="0"/>
        <w:autoSpaceDN w:val="0"/>
        <w:adjustRightInd w:val="0"/>
        <w:spacing w:before="120" w:after="120" w:line="240" w:lineRule="auto"/>
        <w:contextualSpacing w:val="0"/>
        <w:jc w:val="both"/>
        <w:rPr>
          <w:rFonts w:cs="Arial"/>
          <w:color w:val="000000"/>
        </w:rPr>
      </w:pPr>
      <w:r w:rsidRPr="00AC2F9C">
        <w:rPr>
          <w:rFonts w:cs="Arial"/>
          <w:color w:val="000000"/>
        </w:rPr>
        <w:t>deep basinal or over-bank levees in flood plains areas (deposition of very fine sand to silt and clays, which form poor reservoirs on lithification);</w:t>
      </w:r>
    </w:p>
    <w:p w:rsidR="005127B7" w:rsidRPr="00AC2F9C" w:rsidRDefault="005127B7" w:rsidP="005127B7">
      <w:pPr>
        <w:pStyle w:val="Paragraphedeliste"/>
        <w:numPr>
          <w:ilvl w:val="0"/>
          <w:numId w:val="12"/>
        </w:numPr>
        <w:autoSpaceDE w:val="0"/>
        <w:autoSpaceDN w:val="0"/>
        <w:adjustRightInd w:val="0"/>
        <w:spacing w:before="120" w:after="120" w:line="240" w:lineRule="auto"/>
        <w:contextualSpacing w:val="0"/>
        <w:jc w:val="both"/>
        <w:rPr>
          <w:rFonts w:cs="Arial"/>
          <w:color w:val="000000"/>
        </w:rPr>
      </w:pPr>
      <w:r w:rsidRPr="00AC2F9C">
        <w:rPr>
          <w:rFonts w:cs="Arial"/>
          <w:color w:val="000000"/>
        </w:rPr>
        <w:t>high-energy clean sandstones (intergranular pores occluded by authigenic clay minerals &amp; cements);</w:t>
      </w:r>
    </w:p>
    <w:p w:rsidR="005127B7" w:rsidRPr="00AC2F9C" w:rsidRDefault="005127B7" w:rsidP="005127B7">
      <w:pPr>
        <w:pStyle w:val="Paragraphedeliste"/>
        <w:numPr>
          <w:ilvl w:val="0"/>
          <w:numId w:val="12"/>
        </w:numPr>
        <w:autoSpaceDE w:val="0"/>
        <w:autoSpaceDN w:val="0"/>
        <w:adjustRightInd w:val="0"/>
        <w:spacing w:before="120" w:after="120" w:line="240" w:lineRule="auto"/>
        <w:contextualSpacing w:val="0"/>
        <w:jc w:val="both"/>
        <w:rPr>
          <w:rFonts w:cs="Arial"/>
          <w:color w:val="000000"/>
        </w:rPr>
      </w:pPr>
      <w:r w:rsidRPr="00AC2F9C">
        <w:rPr>
          <w:rFonts w:cs="Arial"/>
          <w:color w:val="000000"/>
        </w:rPr>
        <w:t>post-depositional diagenetic events act many times negatively, reduce the effective porosity and thereby make the rock less permeable.</w:t>
      </w:r>
    </w:p>
    <w:p w:rsidR="005127B7" w:rsidRPr="005127B7" w:rsidRDefault="005127B7" w:rsidP="005127B7"/>
    <w:p w:rsidR="00B83692" w:rsidRDefault="00B83692" w:rsidP="00B83692">
      <w:pPr>
        <w:pStyle w:val="Titre3"/>
        <w:jc w:val="both"/>
      </w:pPr>
      <w:bookmarkStart w:id="9" w:name="_Toc367360720"/>
      <w:r>
        <w:t>Shale Gas</w:t>
      </w:r>
      <w:bookmarkEnd w:id="9"/>
    </w:p>
    <w:p w:rsidR="005127B7" w:rsidRPr="005127B7" w:rsidRDefault="005127B7" w:rsidP="005127B7">
      <w:pPr>
        <w:autoSpaceDE w:val="0"/>
        <w:autoSpaceDN w:val="0"/>
        <w:adjustRightInd w:val="0"/>
        <w:spacing w:after="0" w:line="240" w:lineRule="auto"/>
        <w:jc w:val="both"/>
        <w:rPr>
          <w:rFonts w:cs="Arial"/>
        </w:rPr>
      </w:pPr>
      <w:r w:rsidRPr="005127B7">
        <w:t>The first commercial gas well in the USA, drilled in New York State in 1821, many years before Drake‟s pioneer oil well, was in fact a shale gas well. Subsequently, limited amounts of gas were produced from shallow, fractured shale formations (notably in the Appalachian and Michigan basins). Until quite recently, however, total US shale gas production was negligible, being completely overshadowed by vastly greater volumes of natural gas produced from conventional sandstone and siltstone reservoirs.</w:t>
      </w:r>
    </w:p>
    <w:p w:rsidR="00107DDB" w:rsidRDefault="00107DDB" w:rsidP="00107DDB">
      <w:pPr>
        <w:pStyle w:val="Titre4"/>
      </w:pPr>
      <w:r>
        <w:t>Definitions</w:t>
      </w:r>
      <w:r w:rsidRPr="00A47028">
        <w:t xml:space="preserve"> and concepts</w:t>
      </w:r>
    </w:p>
    <w:p w:rsidR="00107DDB" w:rsidRPr="00107DDB" w:rsidRDefault="00107DDB" w:rsidP="00107DDB">
      <w:pPr>
        <w:autoSpaceDE w:val="0"/>
        <w:autoSpaceDN w:val="0"/>
        <w:adjustRightInd w:val="0"/>
        <w:spacing w:before="120" w:after="120" w:line="240" w:lineRule="auto"/>
        <w:ind w:left="-3"/>
        <w:jc w:val="both"/>
        <w:rPr>
          <w:rFonts w:cs="Arial"/>
          <w:color w:val="000000"/>
        </w:rPr>
      </w:pPr>
      <w:r w:rsidRPr="00107DDB">
        <w:rPr>
          <w:rFonts w:cs="Arial"/>
          <w:b/>
          <w:bCs/>
          <w:color w:val="000000"/>
        </w:rPr>
        <w:t>Shale Gas</w:t>
      </w:r>
      <w:r w:rsidR="00EA4392">
        <w:rPr>
          <w:rFonts w:cs="Arial"/>
          <w:b/>
          <w:bCs/>
          <w:color w:val="000000"/>
        </w:rPr>
        <w:t xml:space="preserve"> </w:t>
      </w:r>
      <w:r w:rsidR="00EA4392" w:rsidRPr="00EA4392">
        <w:rPr>
          <w:rFonts w:cs="Arial"/>
          <w:color w:val="000000"/>
        </w:rPr>
        <w:t>–</w:t>
      </w:r>
      <w:r w:rsidR="00EA4392">
        <w:rPr>
          <w:rFonts w:cs="Arial"/>
          <w:color w:val="000000"/>
        </w:rPr>
        <w:t xml:space="preserve"> </w:t>
      </w:r>
      <w:r w:rsidRPr="00107DDB">
        <w:rPr>
          <w:rFonts w:cs="Arial"/>
          <w:color w:val="000000"/>
        </w:rPr>
        <w:t>Natural gas produced from ultra low permeability formations that may also be the source rock for other gas reservoirs. The natural gas volumes can be stored in fracture porosity, within the micropores of the shale itself, or stored in the sorbed state. Sorbed gas is predominately stored in the organic fraction.</w:t>
      </w:r>
    </w:p>
    <w:p w:rsidR="00107DDB" w:rsidRPr="00107DDB" w:rsidRDefault="00107DDB" w:rsidP="00107DDB">
      <w:pPr>
        <w:autoSpaceDE w:val="0"/>
        <w:autoSpaceDN w:val="0"/>
        <w:adjustRightInd w:val="0"/>
        <w:spacing w:before="120" w:after="120" w:line="240" w:lineRule="auto"/>
        <w:jc w:val="both"/>
        <w:rPr>
          <w:rFonts w:cs="Arial"/>
          <w:bCs/>
          <w:color w:val="000000"/>
        </w:rPr>
      </w:pPr>
      <w:r w:rsidRPr="0045084C">
        <w:rPr>
          <w:rFonts w:cs="Arial"/>
          <w:color w:val="000000"/>
        </w:rPr>
        <w:t xml:space="preserve">– </w:t>
      </w:r>
      <w:r w:rsidRPr="0045084C">
        <w:rPr>
          <w:rFonts w:cs="Arial"/>
          <w:i/>
        </w:rPr>
        <w:t xml:space="preserve">Shale </w:t>
      </w:r>
      <w:r w:rsidRPr="0045084C">
        <w:rPr>
          <w:rFonts w:cs="Arial"/>
        </w:rPr>
        <w:t>is a sedimentary rock that is predominantly comprised of very fine-grained clay particles deposited in a thinly laminated texture. These rocks were originally deposited as mud in low energy depositional environments, such as tidal flats and swamps, where the clay particles fall out of suspension. During the deposition of these sediments, organic matter is</w:t>
      </w:r>
      <w:r w:rsidRPr="006F5B60">
        <w:t xml:space="preserve"> also deposited, which is measured when quoting the Total Organic Content (TOC). Deep burial of this mud results in a layered rock called “Shale”, which actually describes the very fine grains and laminar </w:t>
      </w:r>
      <w:r w:rsidRPr="00902BE3">
        <w:t xml:space="preserve">nature of the sediment, not rock composition, which can differ significantly between shales. </w:t>
      </w:r>
      <w:r w:rsidRPr="00902BE3">
        <w:rPr>
          <w:rFonts w:cs="Arial"/>
          <w:bCs/>
          <w:color w:val="000000"/>
        </w:rPr>
        <w:t>Rocks included in this definition of gas shales are organic rich shales, true shales, mud rocks, siltstones, and very fine grained sandstones.</w:t>
      </w:r>
    </w:p>
    <w:p w:rsidR="00107DDB" w:rsidRPr="00107DDB" w:rsidRDefault="00107DDB" w:rsidP="00107DDB">
      <w:pPr>
        <w:pStyle w:val="Titre4"/>
      </w:pPr>
      <w:r w:rsidRPr="00107DDB">
        <w:t>Shale gas global resource base</w:t>
      </w:r>
    </w:p>
    <w:p w:rsidR="00107DDB" w:rsidRPr="00107DDB" w:rsidRDefault="00107DDB" w:rsidP="00107DDB">
      <w:pPr>
        <w:autoSpaceDE w:val="0"/>
        <w:autoSpaceDN w:val="0"/>
        <w:adjustRightInd w:val="0"/>
        <w:spacing w:after="0" w:line="240" w:lineRule="auto"/>
        <w:ind w:left="720"/>
        <w:rPr>
          <w:rFonts w:cs="Arial"/>
        </w:rPr>
      </w:pPr>
      <w:r w:rsidRPr="00107DDB">
        <w:rPr>
          <w:rFonts w:cs="Arial"/>
        </w:rPr>
        <w:t>1. North America</w:t>
      </w:r>
    </w:p>
    <w:p w:rsidR="00107DDB" w:rsidRPr="00107DDB" w:rsidRDefault="00107DDB" w:rsidP="00107DDB">
      <w:pPr>
        <w:autoSpaceDE w:val="0"/>
        <w:autoSpaceDN w:val="0"/>
        <w:adjustRightInd w:val="0"/>
        <w:spacing w:after="0" w:line="240" w:lineRule="auto"/>
        <w:ind w:left="720"/>
        <w:rPr>
          <w:rFonts w:cs="Arial"/>
        </w:rPr>
      </w:pPr>
      <w:r w:rsidRPr="00107DDB">
        <w:rPr>
          <w:rFonts w:cs="Arial"/>
        </w:rPr>
        <w:t>2. Africa</w:t>
      </w:r>
    </w:p>
    <w:p w:rsidR="00107DDB" w:rsidRPr="00107DDB" w:rsidRDefault="00107DDB" w:rsidP="00107DDB">
      <w:pPr>
        <w:autoSpaceDE w:val="0"/>
        <w:autoSpaceDN w:val="0"/>
        <w:adjustRightInd w:val="0"/>
        <w:spacing w:after="0" w:line="240" w:lineRule="auto"/>
        <w:ind w:left="720"/>
        <w:rPr>
          <w:rFonts w:cs="Arial"/>
        </w:rPr>
      </w:pPr>
      <w:r w:rsidRPr="00107DDB">
        <w:rPr>
          <w:rFonts w:cs="Arial"/>
        </w:rPr>
        <w:t>3. Asia Pacific and South Asia</w:t>
      </w:r>
    </w:p>
    <w:p w:rsidR="00107DDB" w:rsidRPr="00107DDB" w:rsidRDefault="00107DDB" w:rsidP="00107DDB">
      <w:pPr>
        <w:autoSpaceDE w:val="0"/>
        <w:autoSpaceDN w:val="0"/>
        <w:adjustRightInd w:val="0"/>
        <w:spacing w:after="0" w:line="240" w:lineRule="auto"/>
        <w:ind w:left="720"/>
        <w:rPr>
          <w:rFonts w:cs="Arial"/>
        </w:rPr>
      </w:pPr>
      <w:r w:rsidRPr="00107DDB">
        <w:rPr>
          <w:rFonts w:cs="Arial"/>
        </w:rPr>
        <w:t>4. Europe</w:t>
      </w:r>
    </w:p>
    <w:p w:rsidR="00107DDB" w:rsidRPr="00107DDB" w:rsidRDefault="00107DDB" w:rsidP="00107DDB">
      <w:pPr>
        <w:autoSpaceDE w:val="0"/>
        <w:autoSpaceDN w:val="0"/>
        <w:adjustRightInd w:val="0"/>
        <w:spacing w:after="0" w:line="240" w:lineRule="auto"/>
        <w:ind w:left="720"/>
        <w:rPr>
          <w:rFonts w:cs="Arial"/>
        </w:rPr>
      </w:pPr>
      <w:r w:rsidRPr="00107DDB">
        <w:rPr>
          <w:rFonts w:cs="Arial"/>
        </w:rPr>
        <w:t>5. The Middle East</w:t>
      </w:r>
    </w:p>
    <w:p w:rsidR="00107DDB" w:rsidRPr="00107DDB" w:rsidRDefault="00107DDB" w:rsidP="00107DDB">
      <w:pPr>
        <w:autoSpaceDE w:val="0"/>
        <w:autoSpaceDN w:val="0"/>
        <w:adjustRightInd w:val="0"/>
        <w:spacing w:after="0" w:line="240" w:lineRule="auto"/>
        <w:ind w:left="720"/>
        <w:rPr>
          <w:rFonts w:cs="Arial"/>
        </w:rPr>
      </w:pPr>
      <w:r w:rsidRPr="00107DDB">
        <w:rPr>
          <w:rFonts w:cs="Arial"/>
        </w:rPr>
        <w:t>6. Latin America</w:t>
      </w:r>
    </w:p>
    <w:p w:rsidR="00107DDB" w:rsidRDefault="00107DDB" w:rsidP="00107DDB">
      <w:pPr>
        <w:ind w:left="720"/>
        <w:rPr>
          <w:rFonts w:cs="Arial"/>
          <w:lang w:val="fr-FR"/>
        </w:rPr>
      </w:pPr>
      <w:r w:rsidRPr="00107DDB">
        <w:rPr>
          <w:rFonts w:cs="Arial"/>
          <w:lang w:val="fr-FR"/>
        </w:rPr>
        <w:t>7. Russia and Central Asia</w:t>
      </w:r>
    </w:p>
    <w:p w:rsidR="00FB00B8" w:rsidRDefault="00FB00B8" w:rsidP="00FB00B8">
      <w:pPr>
        <w:rPr>
          <w:rFonts w:cs="Arial"/>
          <w:lang w:val="fr-FR"/>
        </w:rPr>
      </w:pPr>
      <w:r w:rsidRPr="00FB00B8">
        <w:rPr>
          <w:noProof/>
          <w:lang w:val="fr-FR" w:eastAsia="fr-FR"/>
        </w:rPr>
        <w:lastRenderedPageBreak/>
        <w:drawing>
          <wp:inline distT="0" distB="0" distL="0" distR="0">
            <wp:extent cx="5760085" cy="3183205"/>
            <wp:effectExtent l="1905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60085" cy="3183205"/>
                    </a:xfrm>
                    <a:prstGeom prst="rect">
                      <a:avLst/>
                    </a:prstGeom>
                    <a:noFill/>
                    <a:ln w="9525">
                      <a:noFill/>
                      <a:miter lim="800000"/>
                      <a:headEnd/>
                      <a:tailEnd/>
                    </a:ln>
                  </pic:spPr>
                </pic:pic>
              </a:graphicData>
            </a:graphic>
          </wp:inline>
        </w:drawing>
      </w:r>
    </w:p>
    <w:p w:rsidR="00FB00B8" w:rsidRPr="00B14FE7" w:rsidRDefault="00FB00B8" w:rsidP="00FB00B8">
      <w:pPr>
        <w:pStyle w:val="Lgende"/>
        <w:spacing w:before="120" w:after="0"/>
        <w:rPr>
          <w:rFonts w:cs="Arial"/>
          <w:b w:val="0"/>
          <w:szCs w:val="20"/>
        </w:rPr>
      </w:pPr>
      <w:r w:rsidRPr="00B14FE7">
        <w:rPr>
          <w:b w:val="0"/>
          <w:szCs w:val="20"/>
        </w:rPr>
        <w:t xml:space="preserve">Figure </w:t>
      </w:r>
      <w:r w:rsidR="00D24DB8" w:rsidRPr="00B14FE7">
        <w:rPr>
          <w:b w:val="0"/>
          <w:szCs w:val="20"/>
        </w:rPr>
        <w:fldChar w:fldCharType="begin"/>
      </w:r>
      <w:r w:rsidRPr="00B14FE7">
        <w:rPr>
          <w:b w:val="0"/>
          <w:szCs w:val="20"/>
        </w:rPr>
        <w:instrText xml:space="preserve"> STYLEREF 1 \s </w:instrText>
      </w:r>
      <w:r w:rsidR="00D24DB8" w:rsidRPr="00B14FE7">
        <w:rPr>
          <w:b w:val="0"/>
          <w:szCs w:val="20"/>
        </w:rPr>
        <w:fldChar w:fldCharType="separate"/>
      </w:r>
      <w:r w:rsidRPr="00B14FE7">
        <w:rPr>
          <w:b w:val="0"/>
          <w:noProof/>
          <w:szCs w:val="20"/>
        </w:rPr>
        <w:t>2</w:t>
      </w:r>
      <w:r w:rsidR="00D24DB8" w:rsidRPr="00B14FE7">
        <w:rPr>
          <w:b w:val="0"/>
          <w:szCs w:val="20"/>
        </w:rPr>
        <w:fldChar w:fldCharType="end"/>
      </w:r>
      <w:r w:rsidRPr="00B14FE7">
        <w:rPr>
          <w:b w:val="0"/>
          <w:szCs w:val="20"/>
        </w:rPr>
        <w:t>.</w:t>
      </w:r>
      <w:r w:rsidR="00D24DB8" w:rsidRPr="00B14FE7">
        <w:rPr>
          <w:b w:val="0"/>
          <w:szCs w:val="20"/>
        </w:rPr>
        <w:fldChar w:fldCharType="begin"/>
      </w:r>
      <w:r w:rsidRPr="00B14FE7">
        <w:rPr>
          <w:b w:val="0"/>
          <w:szCs w:val="20"/>
        </w:rPr>
        <w:instrText xml:space="preserve"> SEQ Figure \* ARABIC \s 1 </w:instrText>
      </w:r>
      <w:r w:rsidR="00D24DB8" w:rsidRPr="00B14FE7">
        <w:rPr>
          <w:b w:val="0"/>
          <w:szCs w:val="20"/>
        </w:rPr>
        <w:fldChar w:fldCharType="separate"/>
      </w:r>
      <w:r w:rsidRPr="00B14FE7">
        <w:rPr>
          <w:b w:val="0"/>
          <w:noProof/>
          <w:szCs w:val="20"/>
        </w:rPr>
        <w:t>2</w:t>
      </w:r>
      <w:r w:rsidR="00D24DB8" w:rsidRPr="00B14FE7">
        <w:rPr>
          <w:b w:val="0"/>
          <w:szCs w:val="20"/>
        </w:rPr>
        <w:fldChar w:fldCharType="end"/>
      </w:r>
      <w:r w:rsidRPr="00B14FE7">
        <w:rPr>
          <w:b w:val="0"/>
          <w:szCs w:val="20"/>
        </w:rPr>
        <w:t xml:space="preserve">: </w:t>
      </w:r>
      <w:r w:rsidRPr="00B14FE7">
        <w:rPr>
          <w:rFonts w:cs="Arial"/>
          <w:b w:val="0"/>
          <w:bCs w:val="0"/>
          <w:szCs w:val="20"/>
        </w:rPr>
        <w:t>Map of basins with assessed shale oil and shale gas formations, as of May 2013</w:t>
      </w:r>
    </w:p>
    <w:p w:rsidR="00FB00B8" w:rsidRDefault="00FB00B8" w:rsidP="00FB00B8">
      <w:pPr>
        <w:rPr>
          <w:rFonts w:cs="Arial"/>
        </w:rPr>
      </w:pPr>
    </w:p>
    <w:p w:rsidR="00AF37E5" w:rsidRDefault="00AF37E5" w:rsidP="00AF37E5">
      <w:pPr>
        <w:pStyle w:val="Titre4"/>
      </w:pPr>
      <w:r>
        <w:t>Challenges</w:t>
      </w:r>
      <w:r w:rsidR="003A286F">
        <w:t xml:space="preserve"> and Environmental Considerations</w:t>
      </w:r>
    </w:p>
    <w:p w:rsidR="00AF37E5" w:rsidRPr="00107DDB" w:rsidRDefault="00AF37E5" w:rsidP="00AF37E5">
      <w:pPr>
        <w:pStyle w:val="Titre4"/>
      </w:pPr>
      <w:r>
        <w:t>Conclusions</w:t>
      </w:r>
    </w:p>
    <w:p w:rsidR="00AF37E5" w:rsidRPr="00AF37E5" w:rsidRDefault="00AF37E5" w:rsidP="00AF37E5"/>
    <w:p w:rsidR="00B83692" w:rsidRDefault="00B83692" w:rsidP="00B83692">
      <w:pPr>
        <w:pStyle w:val="Titre3"/>
        <w:jc w:val="both"/>
      </w:pPr>
      <w:bookmarkStart w:id="10" w:name="_Toc367360721"/>
      <w:r>
        <w:t>CBM</w:t>
      </w:r>
      <w:bookmarkEnd w:id="10"/>
    </w:p>
    <w:p w:rsidR="00EA4392" w:rsidRDefault="00EA4392" w:rsidP="00EA4392">
      <w:pPr>
        <w:pStyle w:val="Titre4"/>
      </w:pPr>
      <w:r>
        <w:t>Definitions</w:t>
      </w:r>
      <w:r w:rsidRPr="00A47028">
        <w:t xml:space="preserve"> and concepts</w:t>
      </w:r>
    </w:p>
    <w:p w:rsidR="00EA4392" w:rsidRPr="00EA4392" w:rsidRDefault="00EA4392" w:rsidP="00EA4392">
      <w:pPr>
        <w:autoSpaceDE w:val="0"/>
        <w:autoSpaceDN w:val="0"/>
        <w:adjustRightInd w:val="0"/>
        <w:spacing w:before="120" w:after="120" w:line="240" w:lineRule="auto"/>
        <w:ind w:left="-3"/>
        <w:jc w:val="both"/>
        <w:rPr>
          <w:rFonts w:cs="Arial"/>
          <w:color w:val="000000"/>
        </w:rPr>
      </w:pPr>
      <w:r w:rsidRPr="00EA4392">
        <w:rPr>
          <w:rFonts w:cs="Arial"/>
          <w:b/>
          <w:color w:val="000000"/>
        </w:rPr>
        <w:t>Coal Bed Methane</w:t>
      </w:r>
      <w:r w:rsidRPr="00EA4392">
        <w:rPr>
          <w:rFonts w:cs="Arial"/>
          <w:color w:val="000000"/>
        </w:rPr>
        <w:t xml:space="preserve"> </w:t>
      </w:r>
      <w:r w:rsidRPr="00EA4392">
        <w:rPr>
          <w:b/>
          <w:bCs/>
        </w:rPr>
        <w:t xml:space="preserve">(CBM) </w:t>
      </w:r>
      <w:r>
        <w:t>: G</w:t>
      </w:r>
      <w:r w:rsidRPr="00663B40">
        <w:t>as associated and produced from coal</w:t>
      </w:r>
      <w:r>
        <w:t xml:space="preserve">beds, its </w:t>
      </w:r>
      <w:r w:rsidRPr="00690886">
        <w:t xml:space="preserve">composition is predominately methane, but can also include other constituents, such as ethane, carbon dioxide, nitrogen and hydrogen. </w:t>
      </w:r>
      <w:r w:rsidRPr="00690FE3">
        <w:t xml:space="preserve"> </w:t>
      </w:r>
      <w:r>
        <w:t>Coal seams</w:t>
      </w:r>
      <w:r w:rsidRPr="00690FE3">
        <w:t xml:space="preserve"> act </w:t>
      </w:r>
      <w:r w:rsidRPr="00663B40">
        <w:t xml:space="preserve">as source and reservoir </w:t>
      </w:r>
      <w:r w:rsidRPr="00EA4392">
        <w:rPr>
          <w:rFonts w:cs="Arial"/>
        </w:rPr>
        <w:t>of the natural gas and majority of gas is stored in sorbed state (coal defined as deposit comprised of greater than 70% by volume or 50% by wt. organic matter).</w:t>
      </w:r>
      <w:r w:rsidRPr="00663B40">
        <w:t xml:space="preserve"> The</w:t>
      </w:r>
      <w:r w:rsidRPr="00690FE3">
        <w:t xml:space="preserve"> wells often produce water in the initial production phase, </w:t>
      </w:r>
      <w:r w:rsidRPr="00EA4392">
        <w:rPr>
          <w:rFonts w:cs="Arial"/>
        </w:rPr>
        <w:t>as well as natural gas. Economic CBM reservoirs are normally shallow, as the coal matrix tends to have insufficient strength to maintain porosity at depth.</w:t>
      </w:r>
    </w:p>
    <w:p w:rsidR="00EA4392" w:rsidRDefault="00EA4392" w:rsidP="00EA4392">
      <w:pPr>
        <w:autoSpaceDE w:val="0"/>
        <w:autoSpaceDN w:val="0"/>
        <w:adjustRightInd w:val="0"/>
        <w:spacing w:before="120" w:after="120" w:line="240" w:lineRule="auto"/>
        <w:jc w:val="both"/>
        <w:rPr>
          <w:rFonts w:cs="Arial"/>
        </w:rPr>
      </w:pPr>
      <w:r w:rsidRPr="0045084C">
        <w:rPr>
          <w:rFonts w:cs="Arial"/>
          <w:color w:val="000000"/>
        </w:rPr>
        <w:t xml:space="preserve">– </w:t>
      </w:r>
      <w:r w:rsidRPr="002300A4">
        <w:rPr>
          <w:rFonts w:cs="Arial"/>
          <w:i/>
        </w:rPr>
        <w:t>Coal</w:t>
      </w:r>
      <w:r w:rsidRPr="002300A4">
        <w:rPr>
          <w:rFonts w:cs="Arial"/>
        </w:rPr>
        <w:t xml:space="preserve"> is a compound of solid organic minerals rich in carbon, with very different compositions and properties, owing their origin to slow decomposition and chemical conversion (coalification) of immense masses of organic material (macerals, originated mainly from plants), generally found in stratified deposits in association with shales and ashes.</w:t>
      </w:r>
    </w:p>
    <w:p w:rsidR="00EA4392" w:rsidRDefault="00EA4392" w:rsidP="00EA4392">
      <w:pPr>
        <w:autoSpaceDE w:val="0"/>
        <w:autoSpaceDN w:val="0"/>
        <w:adjustRightInd w:val="0"/>
        <w:spacing w:before="120" w:after="120" w:line="240" w:lineRule="auto"/>
        <w:jc w:val="both"/>
        <w:rPr>
          <w:rFonts w:cs="Arial"/>
        </w:rPr>
      </w:pPr>
      <w:r>
        <w:rPr>
          <w:rFonts w:cs="Arial"/>
          <w:color w:val="000000"/>
        </w:rPr>
        <w:t xml:space="preserve">What makes </w:t>
      </w:r>
      <w:r w:rsidRPr="0045084C">
        <w:rPr>
          <w:rFonts w:cs="Arial"/>
          <w:color w:val="000000"/>
        </w:rPr>
        <w:t>CBM and gas shales special</w:t>
      </w:r>
      <w:r>
        <w:rPr>
          <w:rFonts w:cs="Arial"/>
          <w:color w:val="000000"/>
        </w:rPr>
        <w:t xml:space="preserve"> is : </w:t>
      </w:r>
      <w:r w:rsidRPr="0045084C">
        <w:rPr>
          <w:rFonts w:cs="Arial"/>
          <w:color w:val="000000"/>
        </w:rPr>
        <w:t>One gram of kerogen has the surface area of</w:t>
      </w:r>
      <w:r>
        <w:rPr>
          <w:rFonts w:cs="Arial"/>
          <w:color w:val="000000"/>
        </w:rPr>
        <w:t xml:space="preserve"> </w:t>
      </w:r>
      <w:r w:rsidRPr="0045084C">
        <w:rPr>
          <w:rFonts w:cs="Arial"/>
          <w:color w:val="000000"/>
        </w:rPr>
        <w:t>a ½ football field</w:t>
      </w:r>
      <w:r>
        <w:rPr>
          <w:rFonts w:cs="Arial"/>
          <w:color w:val="000000"/>
        </w:rPr>
        <w:t xml:space="preserve">. </w:t>
      </w:r>
      <w:r w:rsidRPr="002300A4">
        <w:rPr>
          <w:rFonts w:cs="Arial"/>
        </w:rPr>
        <w:t>Because coal has such a large</w:t>
      </w:r>
      <w:r>
        <w:rPr>
          <w:rFonts w:cs="Arial"/>
        </w:rPr>
        <w:t xml:space="preserve"> </w:t>
      </w:r>
      <w:r w:rsidRPr="002300A4">
        <w:rPr>
          <w:rFonts w:cs="Arial"/>
        </w:rPr>
        <w:t>internal surface area, it can store</w:t>
      </w:r>
      <w:r>
        <w:rPr>
          <w:rFonts w:cs="Arial"/>
        </w:rPr>
        <w:t xml:space="preserve"> </w:t>
      </w:r>
      <w:r w:rsidRPr="002300A4">
        <w:rPr>
          <w:rFonts w:cs="Arial"/>
        </w:rPr>
        <w:t>surprisingly large volumes of</w:t>
      </w:r>
      <w:r>
        <w:rPr>
          <w:rFonts w:cs="Arial"/>
        </w:rPr>
        <w:t xml:space="preserve"> </w:t>
      </w:r>
      <w:r w:rsidRPr="002300A4">
        <w:rPr>
          <w:rFonts w:cs="Arial"/>
        </w:rPr>
        <w:t>natural gas, six or seven times</w:t>
      </w:r>
      <w:r>
        <w:rPr>
          <w:rFonts w:cs="Arial"/>
        </w:rPr>
        <w:t xml:space="preserve"> </w:t>
      </w:r>
      <w:r w:rsidRPr="002300A4">
        <w:rPr>
          <w:rFonts w:cs="Arial"/>
        </w:rPr>
        <w:t>as much gas as a conventional</w:t>
      </w:r>
      <w:r>
        <w:rPr>
          <w:rFonts w:cs="Arial"/>
        </w:rPr>
        <w:t xml:space="preserve"> </w:t>
      </w:r>
      <w:r w:rsidRPr="002300A4">
        <w:rPr>
          <w:rFonts w:cs="Arial"/>
        </w:rPr>
        <w:t>natural gas reservoir of equal</w:t>
      </w:r>
      <w:r>
        <w:rPr>
          <w:rFonts w:cs="Arial"/>
        </w:rPr>
        <w:t xml:space="preserve"> </w:t>
      </w:r>
      <w:r w:rsidRPr="002300A4">
        <w:rPr>
          <w:rFonts w:cs="Arial"/>
        </w:rPr>
        <w:t>rock volume can hold.</w:t>
      </w:r>
    </w:p>
    <w:p w:rsidR="00FB00B8" w:rsidRDefault="00FB00B8" w:rsidP="00EA4392">
      <w:pPr>
        <w:autoSpaceDE w:val="0"/>
        <w:autoSpaceDN w:val="0"/>
        <w:adjustRightInd w:val="0"/>
        <w:spacing w:before="120" w:after="120" w:line="240" w:lineRule="auto"/>
        <w:jc w:val="both"/>
        <w:rPr>
          <w:rFonts w:cs="Arial"/>
        </w:rPr>
      </w:pPr>
    </w:p>
    <w:p w:rsidR="00FB00B8" w:rsidRDefault="00FB00B8" w:rsidP="00FB00B8">
      <w:pPr>
        <w:pStyle w:val="Titre4"/>
      </w:pPr>
      <w:r w:rsidRPr="00FB00B8">
        <w:lastRenderedPageBreak/>
        <w:t>Coalbed Methane Worldwide Resource</w:t>
      </w:r>
    </w:p>
    <w:p w:rsidR="00FB00B8" w:rsidRDefault="00FB00B8" w:rsidP="00EA4392">
      <w:pPr>
        <w:autoSpaceDE w:val="0"/>
        <w:autoSpaceDN w:val="0"/>
        <w:adjustRightInd w:val="0"/>
        <w:spacing w:before="120" w:after="120" w:line="240" w:lineRule="auto"/>
        <w:jc w:val="both"/>
        <w:rPr>
          <w:rFonts w:cs="Arial"/>
        </w:rPr>
      </w:pPr>
      <w:r w:rsidRPr="00FB00B8">
        <w:rPr>
          <w:noProof/>
          <w:lang w:val="fr-FR" w:eastAsia="fr-FR"/>
        </w:rPr>
        <w:drawing>
          <wp:inline distT="0" distB="0" distL="0" distR="0">
            <wp:extent cx="5760085" cy="2866457"/>
            <wp:effectExtent l="19050" t="19050" r="12065" b="10093"/>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760085" cy="2866457"/>
                    </a:xfrm>
                    <a:prstGeom prst="rect">
                      <a:avLst/>
                    </a:prstGeom>
                    <a:noFill/>
                    <a:ln w="9525">
                      <a:solidFill>
                        <a:srgbClr val="CC6600"/>
                      </a:solidFill>
                      <a:miter lim="800000"/>
                      <a:headEnd/>
                      <a:tailEnd/>
                    </a:ln>
                  </pic:spPr>
                </pic:pic>
              </a:graphicData>
            </a:graphic>
          </wp:inline>
        </w:drawing>
      </w:r>
    </w:p>
    <w:p w:rsidR="003968E8" w:rsidRDefault="003968E8" w:rsidP="00EA4392">
      <w:pPr>
        <w:autoSpaceDE w:val="0"/>
        <w:autoSpaceDN w:val="0"/>
        <w:adjustRightInd w:val="0"/>
        <w:spacing w:before="120" w:after="120" w:line="240" w:lineRule="auto"/>
        <w:jc w:val="both"/>
        <w:rPr>
          <w:rFonts w:cs="Arial"/>
        </w:rPr>
      </w:pPr>
    </w:p>
    <w:p w:rsidR="003968E8" w:rsidRPr="002300A4" w:rsidRDefault="003968E8" w:rsidP="00EA4392">
      <w:pPr>
        <w:autoSpaceDE w:val="0"/>
        <w:autoSpaceDN w:val="0"/>
        <w:adjustRightInd w:val="0"/>
        <w:spacing w:before="120" w:after="120" w:line="240" w:lineRule="auto"/>
        <w:jc w:val="both"/>
        <w:rPr>
          <w:rFonts w:cs="Arial"/>
        </w:rPr>
      </w:pPr>
      <w:r w:rsidRPr="003968E8">
        <w:rPr>
          <w:noProof/>
          <w:lang w:val="fr-FR" w:eastAsia="fr-FR"/>
        </w:rPr>
        <w:drawing>
          <wp:inline distT="0" distB="0" distL="0" distR="0">
            <wp:extent cx="5753100" cy="3524250"/>
            <wp:effectExtent l="19050" t="19050" r="19050" b="1905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t="2632"/>
                    <a:stretch>
                      <a:fillRect/>
                    </a:stretch>
                  </pic:blipFill>
                  <pic:spPr bwMode="auto">
                    <a:xfrm>
                      <a:off x="0" y="0"/>
                      <a:ext cx="5753100" cy="3524250"/>
                    </a:xfrm>
                    <a:prstGeom prst="rect">
                      <a:avLst/>
                    </a:prstGeom>
                    <a:noFill/>
                    <a:ln w="9525">
                      <a:solidFill>
                        <a:schemeClr val="accent5">
                          <a:lumMod val="40000"/>
                          <a:lumOff val="60000"/>
                        </a:schemeClr>
                      </a:solidFill>
                      <a:miter lim="800000"/>
                      <a:headEnd/>
                      <a:tailEnd/>
                    </a:ln>
                  </pic:spPr>
                </pic:pic>
              </a:graphicData>
            </a:graphic>
          </wp:inline>
        </w:drawing>
      </w:r>
    </w:p>
    <w:p w:rsidR="003968E8" w:rsidRDefault="003968E8">
      <w:pPr>
        <w:rPr>
          <w:rFonts w:asciiTheme="majorHAnsi" w:eastAsiaTheme="majorEastAsia" w:hAnsiTheme="majorHAnsi" w:cstheme="majorBidi"/>
          <w:b/>
          <w:bCs/>
          <w:color w:val="4F81BD" w:themeColor="accent1"/>
        </w:rPr>
      </w:pPr>
      <w:r>
        <w:br w:type="page"/>
      </w:r>
    </w:p>
    <w:p w:rsidR="00EA4392" w:rsidRPr="00EA4392" w:rsidRDefault="00B83692" w:rsidP="00EA4392">
      <w:pPr>
        <w:pStyle w:val="Titre3"/>
        <w:jc w:val="both"/>
      </w:pPr>
      <w:bookmarkStart w:id="11" w:name="_Toc367360722"/>
      <w:r>
        <w:lastRenderedPageBreak/>
        <w:t>Gas Hydrates</w:t>
      </w:r>
      <w:bookmarkEnd w:id="11"/>
    </w:p>
    <w:p w:rsidR="00EA4392" w:rsidRDefault="00EA4392" w:rsidP="00EA4392">
      <w:pPr>
        <w:pStyle w:val="Titre4"/>
      </w:pPr>
      <w:r>
        <w:t>Definitions</w:t>
      </w:r>
      <w:r w:rsidRPr="00A47028">
        <w:t xml:space="preserve"> and concepts</w:t>
      </w:r>
    </w:p>
    <w:p w:rsidR="00EA4392" w:rsidRPr="00EA4392" w:rsidRDefault="00EA4392" w:rsidP="00EA4392">
      <w:pPr>
        <w:autoSpaceDE w:val="0"/>
        <w:autoSpaceDN w:val="0"/>
        <w:adjustRightInd w:val="0"/>
        <w:spacing w:before="120" w:after="120" w:line="240" w:lineRule="auto"/>
        <w:ind w:left="-3"/>
        <w:jc w:val="both"/>
        <w:rPr>
          <w:rFonts w:cs="Arial"/>
          <w:color w:val="000000"/>
        </w:rPr>
      </w:pPr>
      <w:r w:rsidRPr="00EA4392">
        <w:rPr>
          <w:rFonts w:cs="Arial"/>
          <w:b/>
          <w:bCs/>
          <w:color w:val="000000"/>
        </w:rPr>
        <w:t xml:space="preserve">Gas Hydrates </w:t>
      </w:r>
      <w:r w:rsidRPr="00EA4392">
        <w:rPr>
          <w:rFonts w:cs="Arial"/>
          <w:color w:val="000000"/>
        </w:rPr>
        <w:t>– also called methane hydrate, methane clathrate, or natural gas hydrate Gas hydrate – is an ice-like crystalline solid consisting of gas molecules (usually methane,</w:t>
      </w:r>
      <w:r w:rsidRPr="00EC339B">
        <w:t xml:space="preserve"> </w:t>
      </w:r>
      <w:r w:rsidRPr="00EA4392">
        <w:rPr>
          <w:rFonts w:cs="Arial"/>
          <w:color w:val="000000"/>
        </w:rPr>
        <w:t>but also ethane, carbon dioxide, etc.) each surrounded by a cage of water molecules (clathrate). The gas molecules are densely packed in a crystalline structure so that hydrate deposits can store vast quantities of methane. Estimates of the amount of carbon bound in gas hydrates are almost twice the amount of carbon found in all known fossil fuels on Earth; hence, hydrates represent a dominant unconventional energy resource.</w:t>
      </w:r>
    </w:p>
    <w:p w:rsidR="00EA4392" w:rsidRPr="00ED4071" w:rsidRDefault="00EA4392" w:rsidP="00EA4392">
      <w:pPr>
        <w:autoSpaceDE w:val="0"/>
        <w:autoSpaceDN w:val="0"/>
        <w:adjustRightInd w:val="0"/>
        <w:spacing w:before="120" w:after="120" w:line="240" w:lineRule="auto"/>
        <w:jc w:val="both"/>
        <w:rPr>
          <w:rFonts w:cs="Arial"/>
          <w:color w:val="000000"/>
        </w:rPr>
      </w:pPr>
      <w:r w:rsidRPr="0039309D">
        <w:rPr>
          <w:rFonts w:cs="Arial"/>
          <w:color w:val="000000"/>
        </w:rPr>
        <w:t xml:space="preserve">Methane hydrates are believed to form by migration of gas from depth along geological faults, followed by precipitation, or crystallization, on contact of the rising gas stream with </w:t>
      </w:r>
      <w:r w:rsidRPr="00ED4071">
        <w:rPr>
          <w:rFonts w:cs="Arial"/>
          <w:color w:val="000000"/>
        </w:rPr>
        <w:t>the icy-cold water from the sea.</w:t>
      </w:r>
      <w:r w:rsidRPr="0039309D">
        <w:rPr>
          <w:rFonts w:cs="Arial"/>
          <w:color w:val="000000"/>
        </w:rPr>
        <w:t xml:space="preserve"> </w:t>
      </w:r>
      <w:r w:rsidRPr="00ED4071">
        <w:rPr>
          <w:rFonts w:cs="Arial"/>
          <w:color w:val="000000"/>
        </w:rPr>
        <w:t>These conditions are common in the marine sediments of Earth’s continental margins and below about 200 m depth in permafrost areas.</w:t>
      </w:r>
      <w:r>
        <w:rPr>
          <w:rFonts w:cs="Arial"/>
          <w:color w:val="000000"/>
        </w:rPr>
        <w:t xml:space="preserve"> </w:t>
      </w:r>
      <w:r w:rsidRPr="00ED4071">
        <w:rPr>
          <w:rFonts w:cs="Arial"/>
          <w:color w:val="000000"/>
        </w:rPr>
        <w:t>Though these hydrates are abundant worldwide, particularly in Arctic regions and in marine sediments,</w:t>
      </w:r>
    </w:p>
    <w:p w:rsidR="00EA4392" w:rsidRPr="00E02447" w:rsidRDefault="00EA4392" w:rsidP="00EA4392">
      <w:pPr>
        <w:autoSpaceDE w:val="0"/>
        <w:autoSpaceDN w:val="0"/>
        <w:adjustRightInd w:val="0"/>
        <w:spacing w:before="120" w:after="120" w:line="240" w:lineRule="auto"/>
        <w:ind w:left="357"/>
        <w:jc w:val="both"/>
        <w:rPr>
          <w:rFonts w:cs="Arial"/>
          <w:color w:val="000000"/>
        </w:rPr>
      </w:pPr>
      <w:r w:rsidRPr="00E02447">
        <w:rPr>
          <w:rFonts w:cs="Arial"/>
          <w:color w:val="000000"/>
        </w:rPr>
        <w:t xml:space="preserve">– </w:t>
      </w:r>
      <w:r w:rsidRPr="00E02447">
        <w:rPr>
          <w:rFonts w:cs="Arial"/>
          <w:i/>
          <w:color w:val="000000"/>
        </w:rPr>
        <w:t>Biogenic Hydrate</w:t>
      </w:r>
      <w:r w:rsidRPr="00E02447">
        <w:rPr>
          <w:rFonts w:cs="Arial"/>
          <w:color w:val="000000"/>
        </w:rPr>
        <w:t xml:space="preserve"> is formed by Microbial activity in the upper several hundred meters of deep-sea sediment (about 99%). </w:t>
      </w:r>
    </w:p>
    <w:p w:rsidR="00EA4392" w:rsidRDefault="00EA4392" w:rsidP="00EA4392">
      <w:pPr>
        <w:autoSpaceDE w:val="0"/>
        <w:autoSpaceDN w:val="0"/>
        <w:adjustRightInd w:val="0"/>
        <w:spacing w:before="120" w:after="120" w:line="240" w:lineRule="auto"/>
        <w:ind w:left="357"/>
        <w:jc w:val="both"/>
        <w:rPr>
          <w:rFonts w:cs="Arial"/>
          <w:color w:val="000000"/>
        </w:rPr>
      </w:pPr>
      <w:r w:rsidRPr="00E02447">
        <w:rPr>
          <w:rFonts w:cs="Arial"/>
          <w:color w:val="000000"/>
        </w:rPr>
        <w:t xml:space="preserve">– </w:t>
      </w:r>
      <w:r w:rsidRPr="00E02447">
        <w:rPr>
          <w:rFonts w:cs="Arial"/>
          <w:i/>
          <w:color w:val="000000"/>
        </w:rPr>
        <w:t>Thermogenic Hydrate</w:t>
      </w:r>
      <w:r w:rsidRPr="00E02447">
        <w:rPr>
          <w:rFonts w:cs="Arial"/>
          <w:color w:val="000000"/>
        </w:rPr>
        <w:t xml:space="preserve"> is formed by Thermal breakdown of organic material </w:t>
      </w:r>
      <w:r w:rsidRPr="003F122C">
        <w:rPr>
          <w:rFonts w:cs="Arial"/>
          <w:color w:val="000000"/>
        </w:rPr>
        <w:t>in sediment layers deep beneath the seafloor in petroleum basins</w:t>
      </w:r>
      <w:r w:rsidRPr="00E02447">
        <w:rPr>
          <w:rFonts w:cs="Arial"/>
          <w:color w:val="000000"/>
        </w:rPr>
        <w:t>.</w:t>
      </w:r>
    </w:p>
    <w:p w:rsidR="00EA4392" w:rsidRDefault="00EA4392" w:rsidP="00EA4392">
      <w:pPr>
        <w:autoSpaceDE w:val="0"/>
        <w:autoSpaceDN w:val="0"/>
        <w:adjustRightInd w:val="0"/>
        <w:spacing w:before="120" w:after="120" w:line="240" w:lineRule="auto"/>
        <w:ind w:left="357"/>
        <w:jc w:val="both"/>
        <w:rPr>
          <w:rFonts w:cs="Arial"/>
          <w:color w:val="000000"/>
        </w:rPr>
      </w:pPr>
      <w:r w:rsidRPr="00E02447">
        <w:rPr>
          <w:rFonts w:cs="Arial"/>
          <w:color w:val="000000"/>
        </w:rPr>
        <w:t>Energy density of methane hydrate = 168 m</w:t>
      </w:r>
      <w:r w:rsidRPr="00E02447">
        <w:rPr>
          <w:rFonts w:cs="Arial"/>
          <w:color w:val="000000"/>
          <w:vertAlign w:val="superscript"/>
        </w:rPr>
        <w:t>3</w:t>
      </w:r>
      <w:r w:rsidRPr="00E02447">
        <w:rPr>
          <w:rFonts w:cs="Arial"/>
          <w:color w:val="000000"/>
        </w:rPr>
        <w:t xml:space="preserve"> free gas/1 m</w:t>
      </w:r>
      <w:r w:rsidRPr="00E02447">
        <w:rPr>
          <w:rFonts w:cs="Arial"/>
          <w:color w:val="000000"/>
          <w:vertAlign w:val="superscript"/>
        </w:rPr>
        <w:t>3</w:t>
      </w:r>
      <w:r w:rsidRPr="00E02447">
        <w:rPr>
          <w:rFonts w:cs="Arial"/>
          <w:color w:val="000000"/>
        </w:rPr>
        <w:t xml:space="preserve"> hydrate.</w:t>
      </w:r>
    </w:p>
    <w:p w:rsidR="00FB00B8" w:rsidRDefault="00FB00B8" w:rsidP="00EA4392">
      <w:pPr>
        <w:autoSpaceDE w:val="0"/>
        <w:autoSpaceDN w:val="0"/>
        <w:adjustRightInd w:val="0"/>
        <w:spacing w:before="120" w:after="120" w:line="240" w:lineRule="auto"/>
        <w:ind w:left="357"/>
        <w:jc w:val="both"/>
        <w:rPr>
          <w:rFonts w:cs="Arial"/>
          <w:color w:val="000000"/>
        </w:rPr>
      </w:pPr>
    </w:p>
    <w:p w:rsidR="00B75898" w:rsidRDefault="00B75898" w:rsidP="00EA4392">
      <w:pPr>
        <w:pStyle w:val="Titre4"/>
      </w:pPr>
      <w:r w:rsidRPr="00EA4392">
        <w:t>A Global Inventory of Natural Gas Hydrate Occurrence</w:t>
      </w:r>
    </w:p>
    <w:p w:rsidR="00FB00B8" w:rsidRDefault="00FB00B8" w:rsidP="00FB00B8">
      <w:pPr>
        <w:autoSpaceDE w:val="0"/>
        <w:autoSpaceDN w:val="0"/>
        <w:adjustRightInd w:val="0"/>
        <w:spacing w:before="120" w:after="120" w:line="240" w:lineRule="auto"/>
        <w:jc w:val="both"/>
        <w:rPr>
          <w:rFonts w:cs="Arial"/>
          <w:color w:val="000000"/>
        </w:rPr>
      </w:pPr>
      <w:r w:rsidRPr="00FF0ECC">
        <w:rPr>
          <w:rFonts w:cs="Arial"/>
          <w:color w:val="000000"/>
        </w:rPr>
        <w:t xml:space="preserve">Natural gas hydrate occurs worldwide in oceanic sediment of continental and insular slopes and rises of active and passive margins, in deep-water sediment of inland lakes and seas, and in polar sediment on both continents and continental shelves. In aquatic sediment, where water depths exceed about 300 m and bottom water temperatures approach 0° C, gas hydrate is found at the seafloor to sediment depths of about 1100 m. In polar continental regions, gas hydrate can be present in sediment at depths between about 150 and 2000 m. Thus, natural gas hydrate is restricted to the shallow geosphere where its presence affects the physical and chemical properties of near-surface sediment. </w:t>
      </w:r>
    </w:p>
    <w:p w:rsidR="00FB00B8" w:rsidRDefault="00FB00B8" w:rsidP="00FB00B8">
      <w:pPr>
        <w:autoSpaceDE w:val="0"/>
        <w:autoSpaceDN w:val="0"/>
        <w:adjustRightInd w:val="0"/>
        <w:spacing w:before="120" w:after="120" w:line="240" w:lineRule="auto"/>
        <w:jc w:val="both"/>
        <w:rPr>
          <w:rFonts w:cs="Arial"/>
          <w:color w:val="000000"/>
        </w:rPr>
      </w:pPr>
      <w:r w:rsidRPr="00FF0ECC">
        <w:rPr>
          <w:rFonts w:cs="Arial"/>
          <w:color w:val="000000"/>
        </w:rPr>
        <w:t xml:space="preserve">This updated global </w:t>
      </w:r>
      <w:hyperlink r:id="rId13" w:history="1">
        <w:r w:rsidRPr="00FF0ECC">
          <w:rPr>
            <w:rStyle w:val="Lienhypertexte"/>
            <w:rFonts w:cs="Arial"/>
          </w:rPr>
          <w:t>inventory</w:t>
        </w:r>
      </w:hyperlink>
      <w:r w:rsidRPr="00FF0ECC">
        <w:rPr>
          <w:rFonts w:cs="Arial"/>
          <w:color w:val="000000"/>
        </w:rPr>
        <w:t xml:space="preserve"> reports on natural gas hydrate recovered from 44 regions worldwide and includes 113 regions where the presence of gas hydrate has been inferred from geophysical, geochemical, and geological evidence. The potential amount of methane in natural gas hydrate is enormous, with current estimates converging around about 10 exagrams (10,000 gigatons) of methane carbon. </w:t>
      </w:r>
    </w:p>
    <w:p w:rsidR="003968E8" w:rsidRDefault="003968E8">
      <w:pPr>
        <w:rPr>
          <w:rFonts w:cs="Arial"/>
          <w:color w:val="000000"/>
        </w:rPr>
      </w:pPr>
      <w:r>
        <w:rPr>
          <w:rFonts w:cs="Arial"/>
          <w:color w:val="000000"/>
        </w:rPr>
        <w:br w:type="page"/>
      </w:r>
    </w:p>
    <w:p w:rsidR="0068049E" w:rsidRDefault="0068049E" w:rsidP="0068049E">
      <w:pPr>
        <w:pStyle w:val="Titre2"/>
      </w:pPr>
      <w:bookmarkStart w:id="12" w:name="_Toc367360723"/>
      <w:r w:rsidRPr="0068049E">
        <w:lastRenderedPageBreak/>
        <w:t>Assessment of gas flaring: initiatives for reduction and enhancing supply</w:t>
      </w:r>
      <w:bookmarkEnd w:id="12"/>
    </w:p>
    <w:p w:rsidR="0068049E" w:rsidRDefault="0068049E" w:rsidP="0068049E"/>
    <w:p w:rsidR="0068049E" w:rsidRDefault="0068049E" w:rsidP="0068049E"/>
    <w:p w:rsidR="0068049E" w:rsidRDefault="0068049E" w:rsidP="0068049E">
      <w:pPr>
        <w:pStyle w:val="Titre2"/>
      </w:pPr>
      <w:bookmarkStart w:id="13" w:name="_Toc367360724"/>
      <w:r w:rsidRPr="0068049E">
        <w:t>Exploration and discovery trends and new frontier exploration areas</w:t>
      </w:r>
      <w:bookmarkEnd w:id="13"/>
    </w:p>
    <w:p w:rsidR="0068049E" w:rsidRPr="0068049E" w:rsidRDefault="0068049E" w:rsidP="0068049E"/>
    <w:p w:rsidR="0068049E" w:rsidRDefault="0068049E" w:rsidP="0068049E"/>
    <w:p w:rsidR="0068049E" w:rsidRPr="0068049E" w:rsidRDefault="0068049E" w:rsidP="0068049E"/>
    <w:p w:rsidR="00F901AE" w:rsidRPr="003968E8" w:rsidRDefault="00F901AE" w:rsidP="00F901AE">
      <w:pPr>
        <w:ind w:firstLine="720"/>
        <w:rPr>
          <w:color w:val="FF0000"/>
        </w:rPr>
      </w:pPr>
    </w:p>
    <w:p w:rsidR="001F3B85" w:rsidRPr="003968E8" w:rsidRDefault="001F3B85" w:rsidP="001F3B85">
      <w:pPr>
        <w:ind w:firstLine="709"/>
        <w:rPr>
          <w:color w:val="FF0000"/>
        </w:rPr>
      </w:pPr>
    </w:p>
    <w:p w:rsidR="00CD61D1" w:rsidRPr="003968E8" w:rsidRDefault="00CD61D1">
      <w:pPr>
        <w:rPr>
          <w:rFonts w:eastAsiaTheme="majorEastAsia" w:cstheme="majorBidi"/>
          <w:b/>
          <w:bCs/>
          <w:color w:val="FF0000"/>
          <w:sz w:val="28"/>
          <w:szCs w:val="26"/>
        </w:rPr>
      </w:pPr>
      <w:r w:rsidRPr="003968E8">
        <w:rPr>
          <w:color w:val="FF0000"/>
        </w:rPr>
        <w:br w:type="page"/>
      </w:r>
    </w:p>
    <w:p w:rsidR="00CD61D1" w:rsidRDefault="00CD61D1" w:rsidP="00CD61D1">
      <w:pPr>
        <w:pStyle w:val="Titre2"/>
        <w:numPr>
          <w:ilvl w:val="0"/>
          <w:numId w:val="0"/>
        </w:numPr>
      </w:pPr>
      <w:bookmarkStart w:id="14" w:name="_Toc367360725"/>
      <w:r>
        <w:lastRenderedPageBreak/>
        <w:t>References</w:t>
      </w:r>
      <w:bookmarkEnd w:id="14"/>
    </w:p>
    <w:p w:rsidR="00DF4A0A" w:rsidRDefault="00DF4A0A" w:rsidP="00DF4A0A">
      <w:r>
        <w:t>Bustin</w:t>
      </w:r>
      <w:r w:rsidRPr="00DF4A0A">
        <w:t xml:space="preserve"> </w:t>
      </w:r>
      <w:r>
        <w:t xml:space="preserve">Marc, CBM Solutions: </w:t>
      </w:r>
      <w:r w:rsidRPr="00DF4A0A">
        <w:rPr>
          <w:i/>
        </w:rPr>
        <w:t>Overview on Unconventional Gas</w:t>
      </w:r>
      <w:r>
        <w:rPr>
          <w:i/>
        </w:rPr>
        <w:t xml:space="preserve">. </w:t>
      </w:r>
      <w:r>
        <w:t>June 20, 2009</w:t>
      </w:r>
    </w:p>
    <w:p w:rsidR="00DF4A0A" w:rsidRDefault="00DF4A0A" w:rsidP="00DF4A0A">
      <w:r>
        <w:t xml:space="preserve">Department of Energy and Climate Change, </w:t>
      </w:r>
      <w:r w:rsidRPr="00DF4A0A">
        <w:t>shale gas background note</w:t>
      </w:r>
      <w:r>
        <w:t>,</w:t>
      </w:r>
      <w:r w:rsidR="006D094D">
        <w:t xml:space="preserve"> (G</w:t>
      </w:r>
      <w:r w:rsidR="006D094D" w:rsidRPr="006D094D">
        <w:rPr>
          <w:sz w:val="18"/>
        </w:rPr>
        <w:t>FRAC</w:t>
      </w:r>
      <w:r w:rsidR="006D094D">
        <w:rPr>
          <w:sz w:val="18"/>
        </w:rPr>
        <w:t xml:space="preserve"> TECHNOLOGIES)</w:t>
      </w:r>
    </w:p>
    <w:p w:rsidR="00CD61D1" w:rsidRDefault="006D094D" w:rsidP="00DF4A0A">
      <w:r>
        <w:t>US</w:t>
      </w:r>
      <w:r w:rsidR="00EC339B" w:rsidRPr="00EC339B">
        <w:t xml:space="preserve"> </w:t>
      </w:r>
      <w:r w:rsidR="00EC339B" w:rsidRPr="009577C6">
        <w:t>Geological Survey</w:t>
      </w:r>
      <w:r>
        <w:t xml:space="preserve">: </w:t>
      </w:r>
      <w:r w:rsidR="009577C6" w:rsidRPr="009577C6">
        <w:t xml:space="preserve">Gas Hydrates Primer </w:t>
      </w:r>
      <w:r w:rsidR="009577C6">
        <w:t xml:space="preserve">: </w:t>
      </w:r>
      <w:r w:rsidR="009577C6" w:rsidRPr="009577C6">
        <w:t>The U.S. Geological Survey Gas Hydrates Project</w:t>
      </w:r>
    </w:p>
    <w:p w:rsidR="00B75898" w:rsidRDefault="00B75898" w:rsidP="00CD61D1">
      <w:pPr>
        <w:rPr>
          <w:rStyle w:val="lev"/>
          <w:b w:val="0"/>
        </w:rPr>
      </w:pPr>
      <w:r w:rsidRPr="00B75898">
        <w:rPr>
          <w:rStyle w:val="lev"/>
          <w:b w:val="0"/>
        </w:rPr>
        <w:t>Global Assessment of Methane Gas Hydrates</w:t>
      </w:r>
    </w:p>
    <w:p w:rsidR="00AC2F9C" w:rsidRPr="00CF70C7" w:rsidRDefault="00CF70C7" w:rsidP="00AC2F9C">
      <w:pPr>
        <w:rPr>
          <w:i/>
        </w:rPr>
      </w:pPr>
      <w:r w:rsidRPr="00AC2F9C">
        <w:t>Gonfalini</w:t>
      </w:r>
      <w:r>
        <w:t xml:space="preserve"> </w:t>
      </w:r>
      <w:r w:rsidR="00AC2F9C" w:rsidRPr="00AC2F9C">
        <w:t>Mauro</w:t>
      </w:r>
      <w:r>
        <w:t xml:space="preserve">, </w:t>
      </w:r>
      <w:r w:rsidRPr="00CF70C7">
        <w:t>SPE Italian Section</w:t>
      </w:r>
      <w:r>
        <w:t>:</w:t>
      </w:r>
      <w:r w:rsidR="00AC2F9C" w:rsidRPr="00AC2F9C">
        <w:t xml:space="preserve"> </w:t>
      </w:r>
      <w:r w:rsidR="00AC2F9C" w:rsidRPr="00CF70C7">
        <w:rPr>
          <w:i/>
        </w:rPr>
        <w:t>Formation Evaluation Challenges in Unconventional Tight Hydrocarbon Reservoirs</w:t>
      </w:r>
      <w:r>
        <w:rPr>
          <w:i/>
        </w:rPr>
        <w:t xml:space="preserve">. </w:t>
      </w:r>
      <w:r w:rsidRPr="00CF70C7">
        <w:t>June 7th, 2005</w:t>
      </w:r>
    </w:p>
    <w:p w:rsidR="00CD61D1" w:rsidRDefault="00CD61D1">
      <w:r>
        <w:br w:type="page"/>
      </w:r>
    </w:p>
    <w:p w:rsidR="00CD61D1" w:rsidRDefault="00CD61D1" w:rsidP="0032303B">
      <w:pPr>
        <w:pStyle w:val="Titre2"/>
        <w:numPr>
          <w:ilvl w:val="0"/>
          <w:numId w:val="0"/>
        </w:numPr>
      </w:pPr>
      <w:bookmarkStart w:id="15" w:name="_Toc367360726"/>
      <w:r>
        <w:lastRenderedPageBreak/>
        <w:t>Appendices</w:t>
      </w:r>
      <w:bookmarkEnd w:id="15"/>
    </w:p>
    <w:p w:rsidR="00CD61D1" w:rsidRDefault="00371AAC" w:rsidP="00CD61D1">
      <w:pPr>
        <w:pStyle w:val="Titre2"/>
        <w:numPr>
          <w:ilvl w:val="0"/>
          <w:numId w:val="0"/>
        </w:numPr>
        <w:jc w:val="left"/>
      </w:pPr>
      <w:bookmarkStart w:id="16" w:name="_Toc367360727"/>
      <w:r>
        <w:t xml:space="preserve">A </w:t>
      </w:r>
      <w:r w:rsidR="00CD61D1">
        <w:t>List of Tables</w:t>
      </w:r>
      <w:bookmarkEnd w:id="16"/>
    </w:p>
    <w:p w:rsidR="00CD61D1" w:rsidRDefault="00CD61D1" w:rsidP="00CD61D1"/>
    <w:p w:rsidR="00CD61D1" w:rsidRDefault="00CD61D1">
      <w:r>
        <w:br w:type="page"/>
      </w:r>
    </w:p>
    <w:p w:rsidR="00CD61D1" w:rsidRDefault="00CD61D1" w:rsidP="00CD61D1">
      <w:pPr>
        <w:pStyle w:val="Titre2"/>
        <w:numPr>
          <w:ilvl w:val="0"/>
          <w:numId w:val="0"/>
        </w:numPr>
        <w:jc w:val="left"/>
      </w:pPr>
      <w:bookmarkStart w:id="17" w:name="_Toc367360728"/>
      <w:r>
        <w:lastRenderedPageBreak/>
        <w:t>B List of Figures</w:t>
      </w:r>
      <w:bookmarkEnd w:id="17"/>
    </w:p>
    <w:p w:rsidR="00CD61D1" w:rsidRDefault="00CD61D1" w:rsidP="00CD61D1"/>
    <w:p w:rsidR="00CD61D1" w:rsidRDefault="00CD61D1" w:rsidP="00CD61D1"/>
    <w:p w:rsidR="00CD61D1" w:rsidRDefault="00CD61D1">
      <w:r>
        <w:br w:type="page"/>
      </w:r>
    </w:p>
    <w:p w:rsidR="00CD61D1" w:rsidRDefault="00CD61D1" w:rsidP="00CD61D1">
      <w:pPr>
        <w:pStyle w:val="Titre2"/>
        <w:numPr>
          <w:ilvl w:val="0"/>
          <w:numId w:val="0"/>
        </w:numPr>
        <w:jc w:val="left"/>
      </w:pPr>
      <w:bookmarkStart w:id="18" w:name="_Toc367360729"/>
      <w:r>
        <w:lastRenderedPageBreak/>
        <w:t>C Glossary and Acronyms</w:t>
      </w:r>
      <w:bookmarkEnd w:id="18"/>
    </w:p>
    <w:p w:rsidR="00CD61D1" w:rsidRPr="00CD61D1" w:rsidRDefault="00CD61D1" w:rsidP="00CD61D1"/>
    <w:sectPr w:rsidR="00CD61D1" w:rsidRPr="00CD61D1" w:rsidSect="00B0057A">
      <w:headerReference w:type="default" r:id="rId14"/>
      <w:footerReference w:type="default" r:id="rId15"/>
      <w:headerReference w:type="first" r:id="rId16"/>
      <w:pgSz w:w="11907" w:h="16839" w:code="9"/>
      <w:pgMar w:top="1418" w:right="1418" w:bottom="1418" w:left="1418" w:header="709" w:footer="709" w:gutter="0"/>
      <w:pgNumType w:chapStyle="1" w:chapSep="period"/>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93B" w:rsidRDefault="007C193B" w:rsidP="00F019E5">
      <w:pPr>
        <w:spacing w:after="0" w:line="240" w:lineRule="auto"/>
      </w:pPr>
      <w:r>
        <w:separator/>
      </w:r>
    </w:p>
  </w:endnote>
  <w:endnote w:type="continuationSeparator" w:id="1">
    <w:p w:rsidR="007C193B" w:rsidRDefault="007C193B" w:rsidP="00F019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Bold">
    <w:panose1 w:val="00000000000000000000"/>
    <w:charset w:val="00"/>
    <w:family w:val="swiss"/>
    <w:notTrueType/>
    <w:pitch w:val="default"/>
    <w:sig w:usb0="00000003" w:usb1="00000000" w:usb2="00000000" w:usb3="00000000" w:csb0="00000001" w:csb1="00000000"/>
  </w:font>
  <w:font w:name="Z@R45B3.tmp">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005303"/>
      <w:docPartObj>
        <w:docPartGallery w:val="Page Numbers (Bottom of Page)"/>
        <w:docPartUnique/>
      </w:docPartObj>
    </w:sdtPr>
    <w:sdtContent>
      <w:p w:rsidR="00962E2F" w:rsidRDefault="00D24DB8">
        <w:pPr>
          <w:pStyle w:val="Pieddepage"/>
          <w:jc w:val="right"/>
        </w:pPr>
        <w:fldSimple w:instr="PAGE   \* MERGEFORMAT">
          <w:r w:rsidR="00E845B5" w:rsidRPr="00E845B5">
            <w:rPr>
              <w:noProof/>
              <w:lang w:val="pt-BR"/>
            </w:rPr>
            <w:t>2.6</w:t>
          </w:r>
        </w:fldSimple>
      </w:p>
    </w:sdtContent>
  </w:sdt>
  <w:p w:rsidR="00962E2F" w:rsidRDefault="00962E2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93B" w:rsidRDefault="007C193B" w:rsidP="00F019E5">
      <w:pPr>
        <w:spacing w:after="0" w:line="240" w:lineRule="auto"/>
      </w:pPr>
      <w:r>
        <w:separator/>
      </w:r>
    </w:p>
  </w:footnote>
  <w:footnote w:type="continuationSeparator" w:id="1">
    <w:p w:rsidR="007C193B" w:rsidRDefault="007C193B" w:rsidP="00F019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E2F" w:rsidRDefault="00962E2F">
    <w:pPr>
      <w:pStyle w:val="En-tte"/>
    </w:pPr>
  </w:p>
  <w:p w:rsidR="00962E2F" w:rsidRDefault="00962E2F">
    <w:pPr>
      <w:pStyle w:val="En-tte"/>
    </w:pPr>
  </w:p>
  <w:p w:rsidR="00962E2F" w:rsidRDefault="00962E2F">
    <w:pPr>
      <w:pStyle w:val="En-tte"/>
    </w:pPr>
  </w:p>
  <w:p w:rsidR="00962E2F" w:rsidRDefault="00962E2F">
    <w:pPr>
      <w:pStyle w:val="En-tte"/>
    </w:pPr>
  </w:p>
  <w:p w:rsidR="00962E2F" w:rsidRDefault="00962E2F">
    <w:pPr>
      <w:pStyle w:val="En-tte"/>
    </w:pPr>
  </w:p>
  <w:p w:rsidR="00962E2F" w:rsidRDefault="00962E2F">
    <w:pPr>
      <w:pStyle w:val="En-tte"/>
    </w:pPr>
    <w:r>
      <w:rPr>
        <w:noProof/>
        <w:lang w:val="fr-FR" w:eastAsia="fr-FR"/>
      </w:rPr>
      <w:drawing>
        <wp:anchor distT="0" distB="0" distL="114300" distR="114300" simplePos="0" relativeHeight="251659264" behindDoc="0" locked="0" layoutInCell="1" allowOverlap="0">
          <wp:simplePos x="0" y="0"/>
          <wp:positionH relativeFrom="margin">
            <wp:align>right</wp:align>
          </wp:positionH>
          <wp:positionV relativeFrom="page">
            <wp:posOffset>360045</wp:posOffset>
          </wp:positionV>
          <wp:extent cx="781200" cy="903600"/>
          <wp:effectExtent l="0" t="0" r="0" b="0"/>
          <wp:wrapSquare wrapText="bothSides"/>
          <wp:docPr id="2" name="Imagem 2" descr="Description: Logo WGC GB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Logo WGC GB trans.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200" cy="903600"/>
                  </a:xfrm>
                  <a:prstGeom prst="rect">
                    <a:avLst/>
                  </a:prstGeom>
                  <a:noFill/>
                  <a:ln>
                    <a:noFill/>
                  </a:ln>
                </pic:spPr>
              </pic:pic>
            </a:graphicData>
          </a:graphic>
        </wp:anchor>
      </w:drawing>
    </w:r>
    <w:r>
      <w:rPr>
        <w:noProof/>
        <w:lang w:val="fr-FR" w:eastAsia="fr-FR"/>
      </w:rPr>
      <w:drawing>
        <wp:anchor distT="0" distB="0" distL="114300" distR="114300" simplePos="0" relativeHeight="251658240" behindDoc="0" locked="0" layoutInCell="1" allowOverlap="1">
          <wp:simplePos x="0" y="0"/>
          <wp:positionH relativeFrom="margin">
            <wp:align>left</wp:align>
          </wp:positionH>
          <wp:positionV relativeFrom="page">
            <wp:posOffset>360045</wp:posOffset>
          </wp:positionV>
          <wp:extent cx="1278000" cy="8964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75" b="11687"/>
                  <a:stretch>
                    <a:fillRect/>
                  </a:stretch>
                </pic:blipFill>
                <pic:spPr bwMode="auto">
                  <a:xfrm>
                    <a:off x="0" y="0"/>
                    <a:ext cx="1278000" cy="89640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E2F" w:rsidRDefault="00962E2F">
    <w:pPr>
      <w:pStyle w:val="En-tte"/>
    </w:pPr>
    <w:r w:rsidRPr="00B92991">
      <w:rPr>
        <w:noProof/>
        <w:lang w:val="fr-FR" w:eastAsia="fr-FR"/>
      </w:rPr>
      <w:drawing>
        <wp:anchor distT="0" distB="0" distL="114300" distR="114300" simplePos="0" relativeHeight="251661312" behindDoc="0" locked="0" layoutInCell="1" allowOverlap="1">
          <wp:simplePos x="0" y="0"/>
          <wp:positionH relativeFrom="margin">
            <wp:posOffset>152400</wp:posOffset>
          </wp:positionH>
          <wp:positionV relativeFrom="page">
            <wp:posOffset>512445</wp:posOffset>
          </wp:positionV>
          <wp:extent cx="1278000" cy="89640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75" b="11687"/>
                  <a:stretch>
                    <a:fillRect/>
                  </a:stretch>
                </pic:blipFill>
                <pic:spPr bwMode="auto">
                  <a:xfrm>
                    <a:off x="0" y="0"/>
                    <a:ext cx="1278000" cy="896400"/>
                  </a:xfrm>
                  <a:prstGeom prst="rect">
                    <a:avLst/>
                  </a:prstGeom>
                  <a:noFill/>
                  <a:ln>
                    <a:noFill/>
                  </a:ln>
                </pic:spPr>
              </pic:pic>
            </a:graphicData>
          </a:graphic>
        </wp:anchor>
      </w:drawing>
    </w:r>
    <w:r w:rsidRPr="00B92991">
      <w:rPr>
        <w:noProof/>
        <w:lang w:val="fr-FR" w:eastAsia="fr-FR"/>
      </w:rPr>
      <w:drawing>
        <wp:anchor distT="0" distB="0" distL="114300" distR="114300" simplePos="0" relativeHeight="251662336" behindDoc="0" locked="0" layoutInCell="1" allowOverlap="0">
          <wp:simplePos x="0" y="0"/>
          <wp:positionH relativeFrom="margin">
            <wp:posOffset>5342890</wp:posOffset>
          </wp:positionH>
          <wp:positionV relativeFrom="page">
            <wp:posOffset>512445</wp:posOffset>
          </wp:positionV>
          <wp:extent cx="781200" cy="903600"/>
          <wp:effectExtent l="0" t="0" r="0" b="0"/>
          <wp:wrapSquare wrapText="bothSides"/>
          <wp:docPr id="5" name="Imagem 5" descr="Description: Logo WGC GB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Logo WGC GB trans.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200" cy="9036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F0CCA"/>
    <w:multiLevelType w:val="hybridMultilevel"/>
    <w:tmpl w:val="1518949C"/>
    <w:lvl w:ilvl="0" w:tplc="8FF4FB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02574C1"/>
    <w:multiLevelType w:val="hybridMultilevel"/>
    <w:tmpl w:val="D58C17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8156C98"/>
    <w:multiLevelType w:val="hybridMultilevel"/>
    <w:tmpl w:val="A9BE55BC"/>
    <w:lvl w:ilvl="0" w:tplc="D9F0848A">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2AAC4D90"/>
    <w:multiLevelType w:val="hybridMultilevel"/>
    <w:tmpl w:val="CADA90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2DAB428B"/>
    <w:multiLevelType w:val="hybridMultilevel"/>
    <w:tmpl w:val="43EAB3EE"/>
    <w:lvl w:ilvl="0" w:tplc="D9F0848A">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3448787F"/>
    <w:multiLevelType w:val="hybridMultilevel"/>
    <w:tmpl w:val="F0C6820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46864BE9"/>
    <w:multiLevelType w:val="multilevel"/>
    <w:tmpl w:val="DBBC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CD5535"/>
    <w:multiLevelType w:val="multilevel"/>
    <w:tmpl w:val="008C77B2"/>
    <w:lvl w:ilvl="0">
      <w:start w:val="2"/>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8">
    <w:nsid w:val="57DF5656"/>
    <w:multiLevelType w:val="hybridMultilevel"/>
    <w:tmpl w:val="BC941638"/>
    <w:lvl w:ilvl="0" w:tplc="BCBC2D80">
      <w:start w:val="1"/>
      <w:numFmt w:val="bullet"/>
      <w:lvlText w:val="•"/>
      <w:lvlJc w:val="left"/>
      <w:pPr>
        <w:tabs>
          <w:tab w:val="num" w:pos="720"/>
        </w:tabs>
        <w:ind w:left="720" w:hanging="360"/>
      </w:pPr>
      <w:rPr>
        <w:rFonts w:ascii="Arial" w:hAnsi="Arial" w:hint="default"/>
      </w:rPr>
    </w:lvl>
    <w:lvl w:ilvl="1" w:tplc="F78A361C">
      <w:start w:val="2570"/>
      <w:numFmt w:val="bullet"/>
      <w:lvlText w:val="–"/>
      <w:lvlJc w:val="left"/>
      <w:pPr>
        <w:tabs>
          <w:tab w:val="num" w:pos="1440"/>
        </w:tabs>
        <w:ind w:left="1440" w:hanging="360"/>
      </w:pPr>
      <w:rPr>
        <w:rFonts w:ascii="Arial" w:hAnsi="Arial" w:hint="default"/>
      </w:rPr>
    </w:lvl>
    <w:lvl w:ilvl="2" w:tplc="18803BD0">
      <w:start w:val="1"/>
      <w:numFmt w:val="decimal"/>
      <w:lvlText w:val="%3."/>
      <w:lvlJc w:val="left"/>
      <w:pPr>
        <w:tabs>
          <w:tab w:val="num" w:pos="2160"/>
        </w:tabs>
        <w:ind w:left="2160" w:hanging="360"/>
      </w:pPr>
    </w:lvl>
    <w:lvl w:ilvl="3" w:tplc="03948D5E" w:tentative="1">
      <w:start w:val="1"/>
      <w:numFmt w:val="bullet"/>
      <w:lvlText w:val="•"/>
      <w:lvlJc w:val="left"/>
      <w:pPr>
        <w:tabs>
          <w:tab w:val="num" w:pos="2880"/>
        </w:tabs>
        <w:ind w:left="2880" w:hanging="360"/>
      </w:pPr>
      <w:rPr>
        <w:rFonts w:ascii="Arial" w:hAnsi="Arial" w:hint="default"/>
      </w:rPr>
    </w:lvl>
    <w:lvl w:ilvl="4" w:tplc="DC5421E0" w:tentative="1">
      <w:start w:val="1"/>
      <w:numFmt w:val="bullet"/>
      <w:lvlText w:val="•"/>
      <w:lvlJc w:val="left"/>
      <w:pPr>
        <w:tabs>
          <w:tab w:val="num" w:pos="3600"/>
        </w:tabs>
        <w:ind w:left="3600" w:hanging="360"/>
      </w:pPr>
      <w:rPr>
        <w:rFonts w:ascii="Arial" w:hAnsi="Arial" w:hint="default"/>
      </w:rPr>
    </w:lvl>
    <w:lvl w:ilvl="5" w:tplc="E278D9E2" w:tentative="1">
      <w:start w:val="1"/>
      <w:numFmt w:val="bullet"/>
      <w:lvlText w:val="•"/>
      <w:lvlJc w:val="left"/>
      <w:pPr>
        <w:tabs>
          <w:tab w:val="num" w:pos="4320"/>
        </w:tabs>
        <w:ind w:left="4320" w:hanging="360"/>
      </w:pPr>
      <w:rPr>
        <w:rFonts w:ascii="Arial" w:hAnsi="Arial" w:hint="default"/>
      </w:rPr>
    </w:lvl>
    <w:lvl w:ilvl="6" w:tplc="3B26A5E4" w:tentative="1">
      <w:start w:val="1"/>
      <w:numFmt w:val="bullet"/>
      <w:lvlText w:val="•"/>
      <w:lvlJc w:val="left"/>
      <w:pPr>
        <w:tabs>
          <w:tab w:val="num" w:pos="5040"/>
        </w:tabs>
        <w:ind w:left="5040" w:hanging="360"/>
      </w:pPr>
      <w:rPr>
        <w:rFonts w:ascii="Arial" w:hAnsi="Arial" w:hint="default"/>
      </w:rPr>
    </w:lvl>
    <w:lvl w:ilvl="7" w:tplc="BB22AB6C" w:tentative="1">
      <w:start w:val="1"/>
      <w:numFmt w:val="bullet"/>
      <w:lvlText w:val="•"/>
      <w:lvlJc w:val="left"/>
      <w:pPr>
        <w:tabs>
          <w:tab w:val="num" w:pos="5760"/>
        </w:tabs>
        <w:ind w:left="5760" w:hanging="360"/>
      </w:pPr>
      <w:rPr>
        <w:rFonts w:ascii="Arial" w:hAnsi="Arial" w:hint="default"/>
      </w:rPr>
    </w:lvl>
    <w:lvl w:ilvl="8" w:tplc="F8406390" w:tentative="1">
      <w:start w:val="1"/>
      <w:numFmt w:val="bullet"/>
      <w:lvlText w:val="•"/>
      <w:lvlJc w:val="left"/>
      <w:pPr>
        <w:tabs>
          <w:tab w:val="num" w:pos="6480"/>
        </w:tabs>
        <w:ind w:left="6480" w:hanging="360"/>
      </w:pPr>
      <w:rPr>
        <w:rFonts w:ascii="Arial" w:hAnsi="Arial" w:hint="default"/>
      </w:rPr>
    </w:lvl>
  </w:abstractNum>
  <w:abstractNum w:abstractNumId="9">
    <w:nsid w:val="5ACF7676"/>
    <w:multiLevelType w:val="hybridMultilevel"/>
    <w:tmpl w:val="D62048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D843E4B"/>
    <w:multiLevelType w:val="hybridMultilevel"/>
    <w:tmpl w:val="FCC8300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7C9F4138"/>
    <w:multiLevelType w:val="hybridMultilevel"/>
    <w:tmpl w:val="637A9A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7E14208A"/>
    <w:multiLevelType w:val="hybridMultilevel"/>
    <w:tmpl w:val="EA14A9B8"/>
    <w:lvl w:ilvl="0" w:tplc="AC1C3184">
      <w:start w:val="1"/>
      <w:numFmt w:val="bullet"/>
      <w:lvlText w:val="–"/>
      <w:lvlJc w:val="left"/>
      <w:pPr>
        <w:tabs>
          <w:tab w:val="num" w:pos="720"/>
        </w:tabs>
        <w:ind w:left="720" w:hanging="360"/>
      </w:pPr>
      <w:rPr>
        <w:rFonts w:ascii="Arial" w:hAnsi="Arial" w:hint="default"/>
      </w:rPr>
    </w:lvl>
    <w:lvl w:ilvl="1" w:tplc="E04A1420">
      <w:start w:val="1"/>
      <w:numFmt w:val="bullet"/>
      <w:lvlText w:val="–"/>
      <w:lvlJc w:val="left"/>
      <w:pPr>
        <w:tabs>
          <w:tab w:val="num" w:pos="1440"/>
        </w:tabs>
        <w:ind w:left="1440" w:hanging="360"/>
      </w:pPr>
      <w:rPr>
        <w:rFonts w:ascii="Arial" w:hAnsi="Arial" w:hint="default"/>
      </w:rPr>
    </w:lvl>
    <w:lvl w:ilvl="2" w:tplc="5BC60FDA" w:tentative="1">
      <w:start w:val="1"/>
      <w:numFmt w:val="bullet"/>
      <w:lvlText w:val="–"/>
      <w:lvlJc w:val="left"/>
      <w:pPr>
        <w:tabs>
          <w:tab w:val="num" w:pos="2160"/>
        </w:tabs>
        <w:ind w:left="2160" w:hanging="360"/>
      </w:pPr>
      <w:rPr>
        <w:rFonts w:ascii="Arial" w:hAnsi="Arial" w:hint="default"/>
      </w:rPr>
    </w:lvl>
    <w:lvl w:ilvl="3" w:tplc="60A055F4" w:tentative="1">
      <w:start w:val="1"/>
      <w:numFmt w:val="bullet"/>
      <w:lvlText w:val="–"/>
      <w:lvlJc w:val="left"/>
      <w:pPr>
        <w:tabs>
          <w:tab w:val="num" w:pos="2880"/>
        </w:tabs>
        <w:ind w:left="2880" w:hanging="360"/>
      </w:pPr>
      <w:rPr>
        <w:rFonts w:ascii="Arial" w:hAnsi="Arial" w:hint="default"/>
      </w:rPr>
    </w:lvl>
    <w:lvl w:ilvl="4" w:tplc="01C8AE98" w:tentative="1">
      <w:start w:val="1"/>
      <w:numFmt w:val="bullet"/>
      <w:lvlText w:val="–"/>
      <w:lvlJc w:val="left"/>
      <w:pPr>
        <w:tabs>
          <w:tab w:val="num" w:pos="3600"/>
        </w:tabs>
        <w:ind w:left="3600" w:hanging="360"/>
      </w:pPr>
      <w:rPr>
        <w:rFonts w:ascii="Arial" w:hAnsi="Arial" w:hint="default"/>
      </w:rPr>
    </w:lvl>
    <w:lvl w:ilvl="5" w:tplc="91EA5F42" w:tentative="1">
      <w:start w:val="1"/>
      <w:numFmt w:val="bullet"/>
      <w:lvlText w:val="–"/>
      <w:lvlJc w:val="left"/>
      <w:pPr>
        <w:tabs>
          <w:tab w:val="num" w:pos="4320"/>
        </w:tabs>
        <w:ind w:left="4320" w:hanging="360"/>
      </w:pPr>
      <w:rPr>
        <w:rFonts w:ascii="Arial" w:hAnsi="Arial" w:hint="default"/>
      </w:rPr>
    </w:lvl>
    <w:lvl w:ilvl="6" w:tplc="F4FC05F2" w:tentative="1">
      <w:start w:val="1"/>
      <w:numFmt w:val="bullet"/>
      <w:lvlText w:val="–"/>
      <w:lvlJc w:val="left"/>
      <w:pPr>
        <w:tabs>
          <w:tab w:val="num" w:pos="5040"/>
        </w:tabs>
        <w:ind w:left="5040" w:hanging="360"/>
      </w:pPr>
      <w:rPr>
        <w:rFonts w:ascii="Arial" w:hAnsi="Arial" w:hint="default"/>
      </w:rPr>
    </w:lvl>
    <w:lvl w:ilvl="7" w:tplc="83F6E76C" w:tentative="1">
      <w:start w:val="1"/>
      <w:numFmt w:val="bullet"/>
      <w:lvlText w:val="–"/>
      <w:lvlJc w:val="left"/>
      <w:pPr>
        <w:tabs>
          <w:tab w:val="num" w:pos="5760"/>
        </w:tabs>
        <w:ind w:left="5760" w:hanging="360"/>
      </w:pPr>
      <w:rPr>
        <w:rFonts w:ascii="Arial" w:hAnsi="Arial" w:hint="default"/>
      </w:rPr>
    </w:lvl>
    <w:lvl w:ilvl="8" w:tplc="C0786BA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7"/>
  </w:num>
  <w:num w:numId="4">
    <w:abstractNumId w:val="0"/>
  </w:num>
  <w:num w:numId="5">
    <w:abstractNumId w:val="9"/>
  </w:num>
  <w:num w:numId="6">
    <w:abstractNumId w:val="5"/>
  </w:num>
  <w:num w:numId="7">
    <w:abstractNumId w:val="1"/>
  </w:num>
  <w:num w:numId="8">
    <w:abstractNumId w:val="10"/>
  </w:num>
  <w:num w:numId="9">
    <w:abstractNumId w:val="11"/>
  </w:num>
  <w:num w:numId="10">
    <w:abstractNumId w:val="3"/>
  </w:num>
  <w:num w:numId="11">
    <w:abstractNumId w:val="6"/>
  </w:num>
  <w:num w:numId="12">
    <w:abstractNumId w:val="4"/>
  </w:num>
  <w:num w:numId="13">
    <w:abstractNumId w:val="2"/>
  </w:num>
  <w:num w:numId="14">
    <w:abstractNumId w:val="12"/>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hyphenationZone w:val="425"/>
  <w:characterSpacingControl w:val="doNotCompress"/>
  <w:hdrShapeDefaults>
    <o:shapedefaults v:ext="edit" spidmax="35842"/>
  </w:hdrShapeDefaults>
  <w:footnotePr>
    <w:footnote w:id="0"/>
    <w:footnote w:id="1"/>
  </w:footnotePr>
  <w:endnotePr>
    <w:endnote w:id="0"/>
    <w:endnote w:id="1"/>
  </w:endnotePr>
  <w:compat/>
  <w:rsids>
    <w:rsidRoot w:val="00D4542A"/>
    <w:rsid w:val="00003D44"/>
    <w:rsid w:val="00031AA5"/>
    <w:rsid w:val="00052956"/>
    <w:rsid w:val="00077808"/>
    <w:rsid w:val="00087F3F"/>
    <w:rsid w:val="000F0077"/>
    <w:rsid w:val="000F0EC9"/>
    <w:rsid w:val="00107DDB"/>
    <w:rsid w:val="001152C2"/>
    <w:rsid w:val="00171C87"/>
    <w:rsid w:val="001A65F6"/>
    <w:rsid w:val="001B14B7"/>
    <w:rsid w:val="001E42DD"/>
    <w:rsid w:val="001F3B85"/>
    <w:rsid w:val="001F459D"/>
    <w:rsid w:val="0022457D"/>
    <w:rsid w:val="002300A4"/>
    <w:rsid w:val="00264FA7"/>
    <w:rsid w:val="002B0AC3"/>
    <w:rsid w:val="002B47DC"/>
    <w:rsid w:val="002E2F8A"/>
    <w:rsid w:val="002E4495"/>
    <w:rsid w:val="002F2E01"/>
    <w:rsid w:val="00300404"/>
    <w:rsid w:val="003032BA"/>
    <w:rsid w:val="0032303B"/>
    <w:rsid w:val="00351585"/>
    <w:rsid w:val="00371AAC"/>
    <w:rsid w:val="00381281"/>
    <w:rsid w:val="0039309D"/>
    <w:rsid w:val="003968E8"/>
    <w:rsid w:val="003A286F"/>
    <w:rsid w:val="003F122C"/>
    <w:rsid w:val="00405FF4"/>
    <w:rsid w:val="0045084C"/>
    <w:rsid w:val="004636B7"/>
    <w:rsid w:val="004721A6"/>
    <w:rsid w:val="004C52F7"/>
    <w:rsid w:val="004F2186"/>
    <w:rsid w:val="005127B7"/>
    <w:rsid w:val="00551C45"/>
    <w:rsid w:val="005879D9"/>
    <w:rsid w:val="00591033"/>
    <w:rsid w:val="005A46F0"/>
    <w:rsid w:val="005B0815"/>
    <w:rsid w:val="005C1CDB"/>
    <w:rsid w:val="005E0908"/>
    <w:rsid w:val="00612807"/>
    <w:rsid w:val="006602FD"/>
    <w:rsid w:val="00663B40"/>
    <w:rsid w:val="006709FE"/>
    <w:rsid w:val="0068049E"/>
    <w:rsid w:val="00683C35"/>
    <w:rsid w:val="0068764C"/>
    <w:rsid w:val="00690886"/>
    <w:rsid w:val="00690FE3"/>
    <w:rsid w:val="006C5A69"/>
    <w:rsid w:val="006D094D"/>
    <w:rsid w:val="006D313B"/>
    <w:rsid w:val="006D739B"/>
    <w:rsid w:val="006F5B60"/>
    <w:rsid w:val="006F649F"/>
    <w:rsid w:val="007322BF"/>
    <w:rsid w:val="00772CE2"/>
    <w:rsid w:val="007C193B"/>
    <w:rsid w:val="007C5DBD"/>
    <w:rsid w:val="008244A4"/>
    <w:rsid w:val="0084564B"/>
    <w:rsid w:val="00864675"/>
    <w:rsid w:val="0087099D"/>
    <w:rsid w:val="00875BB6"/>
    <w:rsid w:val="008A7A02"/>
    <w:rsid w:val="008B32CB"/>
    <w:rsid w:val="00902BE3"/>
    <w:rsid w:val="0090611A"/>
    <w:rsid w:val="00917323"/>
    <w:rsid w:val="0092084D"/>
    <w:rsid w:val="0092480B"/>
    <w:rsid w:val="00935C87"/>
    <w:rsid w:val="009577C6"/>
    <w:rsid w:val="00962E2F"/>
    <w:rsid w:val="00966D1D"/>
    <w:rsid w:val="009A15AC"/>
    <w:rsid w:val="009D2467"/>
    <w:rsid w:val="00A116B3"/>
    <w:rsid w:val="00A41AC8"/>
    <w:rsid w:val="00A47028"/>
    <w:rsid w:val="00A62D3B"/>
    <w:rsid w:val="00A85F65"/>
    <w:rsid w:val="00A95598"/>
    <w:rsid w:val="00A95B0D"/>
    <w:rsid w:val="00AC2F9C"/>
    <w:rsid w:val="00AF37E5"/>
    <w:rsid w:val="00B0057A"/>
    <w:rsid w:val="00B13801"/>
    <w:rsid w:val="00B146D1"/>
    <w:rsid w:val="00B14FE7"/>
    <w:rsid w:val="00B72E08"/>
    <w:rsid w:val="00B75898"/>
    <w:rsid w:val="00B83692"/>
    <w:rsid w:val="00B92991"/>
    <w:rsid w:val="00BB0E55"/>
    <w:rsid w:val="00BB171B"/>
    <w:rsid w:val="00BC1EF5"/>
    <w:rsid w:val="00BC52D3"/>
    <w:rsid w:val="00BD1614"/>
    <w:rsid w:val="00BF3DA5"/>
    <w:rsid w:val="00C270CE"/>
    <w:rsid w:val="00C3798F"/>
    <w:rsid w:val="00C63D6F"/>
    <w:rsid w:val="00CD0ABF"/>
    <w:rsid w:val="00CD61D1"/>
    <w:rsid w:val="00CF70C7"/>
    <w:rsid w:val="00D043E6"/>
    <w:rsid w:val="00D24DB8"/>
    <w:rsid w:val="00D36FA2"/>
    <w:rsid w:val="00D4542A"/>
    <w:rsid w:val="00D73646"/>
    <w:rsid w:val="00D90320"/>
    <w:rsid w:val="00DF4A0A"/>
    <w:rsid w:val="00E01516"/>
    <w:rsid w:val="00E02447"/>
    <w:rsid w:val="00E0573C"/>
    <w:rsid w:val="00E14D78"/>
    <w:rsid w:val="00E44E59"/>
    <w:rsid w:val="00E533A5"/>
    <w:rsid w:val="00E60128"/>
    <w:rsid w:val="00E647CC"/>
    <w:rsid w:val="00E64F16"/>
    <w:rsid w:val="00E845B5"/>
    <w:rsid w:val="00EA2301"/>
    <w:rsid w:val="00EA4392"/>
    <w:rsid w:val="00EA64C1"/>
    <w:rsid w:val="00EB09DB"/>
    <w:rsid w:val="00EB4D97"/>
    <w:rsid w:val="00EB50F8"/>
    <w:rsid w:val="00EC1B10"/>
    <w:rsid w:val="00EC1C8A"/>
    <w:rsid w:val="00EC339B"/>
    <w:rsid w:val="00ED4071"/>
    <w:rsid w:val="00EE6E7E"/>
    <w:rsid w:val="00EF3551"/>
    <w:rsid w:val="00F019E5"/>
    <w:rsid w:val="00F1513C"/>
    <w:rsid w:val="00F15AEA"/>
    <w:rsid w:val="00F272D7"/>
    <w:rsid w:val="00F67147"/>
    <w:rsid w:val="00F75765"/>
    <w:rsid w:val="00F901AE"/>
    <w:rsid w:val="00F94AA4"/>
    <w:rsid w:val="00F96A7B"/>
    <w:rsid w:val="00FA41AD"/>
    <w:rsid w:val="00FB00B8"/>
    <w:rsid w:val="00FB14E1"/>
    <w:rsid w:val="00FC2E2E"/>
    <w:rsid w:val="00FC4A1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D61D1"/>
    <w:rPr>
      <w:rFonts w:ascii="Arial" w:hAnsi="Arial"/>
    </w:rPr>
  </w:style>
  <w:style w:type="paragraph" w:styleId="Titre1">
    <w:name w:val="heading 1"/>
    <w:basedOn w:val="Normal"/>
    <w:next w:val="Normal"/>
    <w:link w:val="Titre1Car"/>
    <w:uiPriority w:val="9"/>
    <w:qFormat/>
    <w:rsid w:val="00CD61D1"/>
    <w:pPr>
      <w:keepNext/>
      <w:keepLines/>
      <w:numPr>
        <w:numId w:val="1"/>
      </w:numPr>
      <w:spacing w:before="480" w:after="0"/>
      <w:jc w:val="center"/>
      <w:outlineLvl w:val="0"/>
    </w:pPr>
    <w:rPr>
      <w:rFonts w:eastAsiaTheme="majorEastAsia" w:cstheme="majorBidi"/>
      <w:b/>
      <w:bCs/>
      <w:sz w:val="32"/>
      <w:szCs w:val="28"/>
    </w:rPr>
  </w:style>
  <w:style w:type="paragraph" w:styleId="Titre2">
    <w:name w:val="heading 2"/>
    <w:basedOn w:val="Normal"/>
    <w:next w:val="Normal"/>
    <w:link w:val="Titre2Car"/>
    <w:uiPriority w:val="9"/>
    <w:unhideWhenUsed/>
    <w:qFormat/>
    <w:rsid w:val="00CD61D1"/>
    <w:pPr>
      <w:keepNext/>
      <w:keepLines/>
      <w:numPr>
        <w:ilvl w:val="1"/>
        <w:numId w:val="1"/>
      </w:numPr>
      <w:spacing w:before="200" w:after="0"/>
      <w:jc w:val="center"/>
      <w:outlineLvl w:val="1"/>
    </w:pPr>
    <w:rPr>
      <w:rFonts w:eastAsiaTheme="majorEastAsia" w:cstheme="majorBidi"/>
      <w:b/>
      <w:bCs/>
      <w:sz w:val="28"/>
      <w:szCs w:val="26"/>
    </w:rPr>
  </w:style>
  <w:style w:type="paragraph" w:styleId="Titre3">
    <w:name w:val="heading 3"/>
    <w:basedOn w:val="Normal"/>
    <w:next w:val="Normal"/>
    <w:link w:val="Titre3Car"/>
    <w:uiPriority w:val="9"/>
    <w:unhideWhenUsed/>
    <w:qFormat/>
    <w:rsid w:val="00CD61D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D61D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D61D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D61D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D61D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D61D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D61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19E5"/>
    <w:pPr>
      <w:tabs>
        <w:tab w:val="center" w:pos="4419"/>
        <w:tab w:val="right" w:pos="8838"/>
      </w:tabs>
      <w:spacing w:after="0" w:line="240" w:lineRule="auto"/>
    </w:pPr>
  </w:style>
  <w:style w:type="character" w:customStyle="1" w:styleId="En-tteCar">
    <w:name w:val="En-tête Car"/>
    <w:basedOn w:val="Policepardfaut"/>
    <w:link w:val="En-tte"/>
    <w:uiPriority w:val="99"/>
    <w:rsid w:val="00F019E5"/>
  </w:style>
  <w:style w:type="paragraph" w:styleId="Pieddepage">
    <w:name w:val="footer"/>
    <w:basedOn w:val="Normal"/>
    <w:link w:val="PieddepageCar"/>
    <w:uiPriority w:val="99"/>
    <w:unhideWhenUsed/>
    <w:rsid w:val="00F019E5"/>
    <w:pPr>
      <w:tabs>
        <w:tab w:val="center" w:pos="4419"/>
        <w:tab w:val="right" w:pos="8838"/>
      </w:tabs>
      <w:spacing w:after="0" w:line="240" w:lineRule="auto"/>
    </w:pPr>
  </w:style>
  <w:style w:type="character" w:customStyle="1" w:styleId="PieddepageCar">
    <w:name w:val="Pied de page Car"/>
    <w:basedOn w:val="Policepardfaut"/>
    <w:link w:val="Pieddepage"/>
    <w:uiPriority w:val="99"/>
    <w:rsid w:val="00F019E5"/>
  </w:style>
  <w:style w:type="character" w:customStyle="1" w:styleId="Titre1Car">
    <w:name w:val="Titre 1 Car"/>
    <w:basedOn w:val="Policepardfaut"/>
    <w:link w:val="Titre1"/>
    <w:uiPriority w:val="9"/>
    <w:rsid w:val="00CD61D1"/>
    <w:rPr>
      <w:rFonts w:ascii="Arial" w:eastAsiaTheme="majorEastAsia" w:hAnsi="Arial" w:cstheme="majorBidi"/>
      <w:b/>
      <w:bCs/>
      <w:sz w:val="32"/>
      <w:szCs w:val="28"/>
    </w:rPr>
  </w:style>
  <w:style w:type="character" w:customStyle="1" w:styleId="Titre2Car">
    <w:name w:val="Titre 2 Car"/>
    <w:basedOn w:val="Policepardfaut"/>
    <w:link w:val="Titre2"/>
    <w:uiPriority w:val="9"/>
    <w:rsid w:val="00CD61D1"/>
    <w:rPr>
      <w:rFonts w:ascii="Arial" w:eastAsiaTheme="majorEastAsia" w:hAnsi="Arial" w:cstheme="majorBidi"/>
      <w:b/>
      <w:bCs/>
      <w:sz w:val="28"/>
      <w:szCs w:val="26"/>
    </w:rPr>
  </w:style>
  <w:style w:type="character" w:customStyle="1" w:styleId="Titre3Car">
    <w:name w:val="Titre 3 Car"/>
    <w:basedOn w:val="Policepardfaut"/>
    <w:link w:val="Titre3"/>
    <w:uiPriority w:val="9"/>
    <w:rsid w:val="00CD61D1"/>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CD61D1"/>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CD61D1"/>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D61D1"/>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D61D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D61D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D61D1"/>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CD61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61D1"/>
    <w:rPr>
      <w:rFonts w:ascii="Tahoma" w:hAnsi="Tahoma" w:cs="Tahoma"/>
      <w:sz w:val="16"/>
      <w:szCs w:val="16"/>
    </w:rPr>
  </w:style>
  <w:style w:type="paragraph" w:styleId="Lgende">
    <w:name w:val="caption"/>
    <w:basedOn w:val="Normal"/>
    <w:next w:val="Normal"/>
    <w:uiPriority w:val="35"/>
    <w:unhideWhenUsed/>
    <w:qFormat/>
    <w:rsid w:val="00CD61D1"/>
    <w:pPr>
      <w:spacing w:line="240" w:lineRule="auto"/>
    </w:pPr>
    <w:rPr>
      <w:b/>
      <w:bCs/>
      <w:sz w:val="20"/>
      <w:szCs w:val="18"/>
    </w:rPr>
  </w:style>
  <w:style w:type="paragraph" w:styleId="TM2">
    <w:name w:val="toc 2"/>
    <w:basedOn w:val="Normal"/>
    <w:next w:val="Normal"/>
    <w:autoRedefine/>
    <w:uiPriority w:val="39"/>
    <w:unhideWhenUsed/>
    <w:rsid w:val="00371AAC"/>
    <w:pPr>
      <w:spacing w:after="100"/>
      <w:ind w:left="220"/>
    </w:pPr>
  </w:style>
  <w:style w:type="paragraph" w:styleId="TM1">
    <w:name w:val="toc 1"/>
    <w:basedOn w:val="Normal"/>
    <w:next w:val="Normal"/>
    <w:autoRedefine/>
    <w:uiPriority w:val="39"/>
    <w:unhideWhenUsed/>
    <w:rsid w:val="00371AAC"/>
    <w:pPr>
      <w:spacing w:after="100"/>
    </w:pPr>
  </w:style>
  <w:style w:type="character" w:styleId="Lienhypertexte">
    <w:name w:val="Hyperlink"/>
    <w:basedOn w:val="Policepardfaut"/>
    <w:uiPriority w:val="99"/>
    <w:unhideWhenUsed/>
    <w:rsid w:val="00371AAC"/>
    <w:rPr>
      <w:color w:val="0000FF" w:themeColor="hyperlink"/>
      <w:u w:val="single"/>
    </w:rPr>
  </w:style>
  <w:style w:type="paragraph" w:styleId="Paragraphedeliste">
    <w:name w:val="List Paragraph"/>
    <w:basedOn w:val="Normal"/>
    <w:uiPriority w:val="34"/>
    <w:rsid w:val="004721A6"/>
    <w:pPr>
      <w:ind w:left="720"/>
      <w:contextualSpacing/>
    </w:pPr>
  </w:style>
  <w:style w:type="paragraph" w:styleId="TM3">
    <w:name w:val="toc 3"/>
    <w:basedOn w:val="Normal"/>
    <w:next w:val="Normal"/>
    <w:autoRedefine/>
    <w:uiPriority w:val="39"/>
    <w:unhideWhenUsed/>
    <w:rsid w:val="00BB0E55"/>
    <w:pPr>
      <w:spacing w:after="100"/>
      <w:ind w:left="440"/>
    </w:pPr>
  </w:style>
  <w:style w:type="paragraph" w:styleId="NormalWeb">
    <w:name w:val="Normal (Web)"/>
    <w:basedOn w:val="Normal"/>
    <w:uiPriority w:val="99"/>
    <w:unhideWhenUsed/>
    <w:rsid w:val="006602F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Default">
    <w:name w:val="Default"/>
    <w:rsid w:val="0068049E"/>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styleId="lev">
    <w:name w:val="Strong"/>
    <w:basedOn w:val="Policepardfaut"/>
    <w:uiPriority w:val="22"/>
    <w:qFormat/>
    <w:rsid w:val="00B75898"/>
    <w:rPr>
      <w:b/>
      <w:bCs/>
    </w:rPr>
  </w:style>
  <w:style w:type="character" w:customStyle="1" w:styleId="apple-converted-space">
    <w:name w:val="apple-converted-space"/>
    <w:basedOn w:val="Policepardfaut"/>
    <w:rsid w:val="00690886"/>
  </w:style>
  <w:style w:type="table" w:styleId="Grilledutableau">
    <w:name w:val="Table Grid"/>
    <w:basedOn w:val="TableauNormal"/>
    <w:uiPriority w:val="59"/>
    <w:rsid w:val="00BF3D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D61D1"/>
    <w:rPr>
      <w:rFonts w:ascii="Arial" w:hAnsi="Arial"/>
    </w:rPr>
  </w:style>
  <w:style w:type="paragraph" w:styleId="Ttulo1">
    <w:name w:val="heading 1"/>
    <w:basedOn w:val="Normal"/>
    <w:next w:val="Normal"/>
    <w:link w:val="Ttulo1Char"/>
    <w:uiPriority w:val="9"/>
    <w:qFormat/>
    <w:rsid w:val="00CD61D1"/>
    <w:pPr>
      <w:keepNext/>
      <w:keepLines/>
      <w:numPr>
        <w:numId w:val="1"/>
      </w:numPr>
      <w:spacing w:before="480" w:after="0"/>
      <w:jc w:val="center"/>
      <w:outlineLvl w:val="0"/>
    </w:pPr>
    <w:rPr>
      <w:rFonts w:eastAsiaTheme="majorEastAsia" w:cstheme="majorBidi"/>
      <w:b/>
      <w:bCs/>
      <w:sz w:val="32"/>
      <w:szCs w:val="28"/>
    </w:rPr>
  </w:style>
  <w:style w:type="paragraph" w:styleId="Ttulo2">
    <w:name w:val="heading 2"/>
    <w:basedOn w:val="Normal"/>
    <w:next w:val="Normal"/>
    <w:link w:val="Ttulo2Char"/>
    <w:uiPriority w:val="9"/>
    <w:unhideWhenUsed/>
    <w:qFormat/>
    <w:rsid w:val="00CD61D1"/>
    <w:pPr>
      <w:keepNext/>
      <w:keepLines/>
      <w:numPr>
        <w:ilvl w:val="1"/>
        <w:numId w:val="1"/>
      </w:numPr>
      <w:spacing w:before="200" w:after="0"/>
      <w:jc w:val="center"/>
      <w:outlineLvl w:val="1"/>
    </w:pPr>
    <w:rPr>
      <w:rFonts w:eastAsiaTheme="majorEastAsia" w:cstheme="majorBidi"/>
      <w:b/>
      <w:bCs/>
      <w:sz w:val="28"/>
      <w:szCs w:val="26"/>
    </w:rPr>
  </w:style>
  <w:style w:type="paragraph" w:styleId="Ttulo3">
    <w:name w:val="heading 3"/>
    <w:basedOn w:val="Normal"/>
    <w:next w:val="Normal"/>
    <w:link w:val="Ttulo3Char"/>
    <w:uiPriority w:val="9"/>
    <w:unhideWhenUsed/>
    <w:qFormat/>
    <w:rsid w:val="00CD61D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CD61D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CD61D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CD61D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CD61D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CD61D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CD61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019E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F019E5"/>
  </w:style>
  <w:style w:type="paragraph" w:styleId="Rodap">
    <w:name w:val="footer"/>
    <w:basedOn w:val="Normal"/>
    <w:link w:val="RodapChar"/>
    <w:uiPriority w:val="99"/>
    <w:unhideWhenUsed/>
    <w:rsid w:val="00F019E5"/>
    <w:pPr>
      <w:tabs>
        <w:tab w:val="center" w:pos="4419"/>
        <w:tab w:val="right" w:pos="8838"/>
      </w:tabs>
      <w:spacing w:after="0" w:line="240" w:lineRule="auto"/>
    </w:pPr>
  </w:style>
  <w:style w:type="character" w:customStyle="1" w:styleId="RodapChar">
    <w:name w:val="Rodapé Char"/>
    <w:basedOn w:val="Fontepargpadro"/>
    <w:link w:val="Rodap"/>
    <w:uiPriority w:val="99"/>
    <w:rsid w:val="00F019E5"/>
  </w:style>
  <w:style w:type="character" w:customStyle="1" w:styleId="Ttulo1Char">
    <w:name w:val="Título 1 Char"/>
    <w:basedOn w:val="Fontepargpadro"/>
    <w:link w:val="Ttulo1"/>
    <w:uiPriority w:val="9"/>
    <w:rsid w:val="00CD61D1"/>
    <w:rPr>
      <w:rFonts w:ascii="Arial" w:eastAsiaTheme="majorEastAsia" w:hAnsi="Arial" w:cstheme="majorBidi"/>
      <w:b/>
      <w:bCs/>
      <w:sz w:val="32"/>
      <w:szCs w:val="28"/>
    </w:rPr>
  </w:style>
  <w:style w:type="character" w:customStyle="1" w:styleId="Ttulo2Char">
    <w:name w:val="Título 2 Char"/>
    <w:basedOn w:val="Fontepargpadro"/>
    <w:link w:val="Ttulo2"/>
    <w:uiPriority w:val="9"/>
    <w:rsid w:val="00CD61D1"/>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CD61D1"/>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CD61D1"/>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CD61D1"/>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CD61D1"/>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CD61D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CD61D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CD61D1"/>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CD61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61D1"/>
    <w:rPr>
      <w:rFonts w:ascii="Tahoma" w:hAnsi="Tahoma" w:cs="Tahoma"/>
      <w:sz w:val="16"/>
      <w:szCs w:val="16"/>
    </w:rPr>
  </w:style>
  <w:style w:type="paragraph" w:styleId="Legenda">
    <w:name w:val="caption"/>
    <w:basedOn w:val="Normal"/>
    <w:next w:val="Normal"/>
    <w:uiPriority w:val="35"/>
    <w:unhideWhenUsed/>
    <w:qFormat/>
    <w:rsid w:val="00CD61D1"/>
    <w:pPr>
      <w:spacing w:line="240" w:lineRule="auto"/>
    </w:pPr>
    <w:rPr>
      <w:b/>
      <w:bCs/>
      <w:sz w:val="20"/>
      <w:szCs w:val="18"/>
    </w:rPr>
  </w:style>
  <w:style w:type="paragraph" w:styleId="Sumrio2">
    <w:name w:val="toc 2"/>
    <w:basedOn w:val="Normal"/>
    <w:next w:val="Normal"/>
    <w:autoRedefine/>
    <w:uiPriority w:val="39"/>
    <w:unhideWhenUsed/>
    <w:rsid w:val="00371AAC"/>
    <w:pPr>
      <w:spacing w:after="100"/>
      <w:ind w:left="220"/>
    </w:pPr>
  </w:style>
  <w:style w:type="paragraph" w:styleId="Sumrio1">
    <w:name w:val="toc 1"/>
    <w:basedOn w:val="Normal"/>
    <w:next w:val="Normal"/>
    <w:autoRedefine/>
    <w:uiPriority w:val="39"/>
    <w:unhideWhenUsed/>
    <w:rsid w:val="00371AAC"/>
    <w:pPr>
      <w:spacing w:after="100"/>
    </w:pPr>
  </w:style>
  <w:style w:type="character" w:styleId="Hyperlink">
    <w:name w:val="Hyperlink"/>
    <w:basedOn w:val="Fontepargpadro"/>
    <w:uiPriority w:val="99"/>
    <w:unhideWhenUsed/>
    <w:rsid w:val="00371AAC"/>
    <w:rPr>
      <w:color w:val="0000FF" w:themeColor="hyperlink"/>
      <w:u w:val="single"/>
    </w:rPr>
  </w:style>
  <w:style w:type="paragraph" w:styleId="PargrafodaLista">
    <w:name w:val="List Paragraph"/>
    <w:basedOn w:val="Normal"/>
    <w:uiPriority w:val="34"/>
    <w:rsid w:val="004721A6"/>
    <w:pPr>
      <w:ind w:left="720"/>
      <w:contextualSpacing/>
    </w:pPr>
  </w:style>
  <w:style w:type="paragraph" w:styleId="Sumrio3">
    <w:name w:val="toc 3"/>
    <w:basedOn w:val="Normal"/>
    <w:next w:val="Normal"/>
    <w:autoRedefine/>
    <w:uiPriority w:val="39"/>
    <w:unhideWhenUsed/>
    <w:rsid w:val="00BB0E55"/>
    <w:pPr>
      <w:spacing w:after="100"/>
      <w:ind w:left="440"/>
    </w:pPr>
  </w:style>
</w:styles>
</file>

<file path=word/webSettings.xml><?xml version="1.0" encoding="utf-8"?>
<w:webSettings xmlns:r="http://schemas.openxmlformats.org/officeDocument/2006/relationships" xmlns:w="http://schemas.openxmlformats.org/wordprocessingml/2006/main">
  <w:divs>
    <w:div w:id="338654296">
      <w:bodyDiv w:val="1"/>
      <w:marLeft w:val="0"/>
      <w:marRight w:val="0"/>
      <w:marTop w:val="0"/>
      <w:marBottom w:val="0"/>
      <w:divBdr>
        <w:top w:val="none" w:sz="0" w:space="0" w:color="auto"/>
        <w:left w:val="none" w:sz="0" w:space="0" w:color="auto"/>
        <w:bottom w:val="none" w:sz="0" w:space="0" w:color="auto"/>
        <w:right w:val="none" w:sz="0" w:space="0" w:color="auto"/>
      </w:divBdr>
      <w:divsChild>
        <w:div w:id="576325259">
          <w:marLeft w:val="1123"/>
          <w:marRight w:val="0"/>
          <w:marTop w:val="120"/>
          <w:marBottom w:val="0"/>
          <w:divBdr>
            <w:top w:val="none" w:sz="0" w:space="0" w:color="auto"/>
            <w:left w:val="none" w:sz="0" w:space="0" w:color="auto"/>
            <w:bottom w:val="none" w:sz="0" w:space="0" w:color="auto"/>
            <w:right w:val="none" w:sz="0" w:space="0" w:color="auto"/>
          </w:divBdr>
        </w:div>
        <w:div w:id="463352894">
          <w:marLeft w:val="1123"/>
          <w:marRight w:val="0"/>
          <w:marTop w:val="120"/>
          <w:marBottom w:val="0"/>
          <w:divBdr>
            <w:top w:val="none" w:sz="0" w:space="0" w:color="auto"/>
            <w:left w:val="none" w:sz="0" w:space="0" w:color="auto"/>
            <w:bottom w:val="none" w:sz="0" w:space="0" w:color="auto"/>
            <w:right w:val="none" w:sz="0" w:space="0" w:color="auto"/>
          </w:divBdr>
        </w:div>
        <w:div w:id="1127620662">
          <w:marLeft w:val="1123"/>
          <w:marRight w:val="0"/>
          <w:marTop w:val="120"/>
          <w:marBottom w:val="0"/>
          <w:divBdr>
            <w:top w:val="none" w:sz="0" w:space="0" w:color="auto"/>
            <w:left w:val="none" w:sz="0" w:space="0" w:color="auto"/>
            <w:bottom w:val="none" w:sz="0" w:space="0" w:color="auto"/>
            <w:right w:val="none" w:sz="0" w:space="0" w:color="auto"/>
          </w:divBdr>
        </w:div>
        <w:div w:id="1303267474">
          <w:marLeft w:val="1123"/>
          <w:marRight w:val="0"/>
          <w:marTop w:val="120"/>
          <w:marBottom w:val="0"/>
          <w:divBdr>
            <w:top w:val="none" w:sz="0" w:space="0" w:color="auto"/>
            <w:left w:val="none" w:sz="0" w:space="0" w:color="auto"/>
            <w:bottom w:val="none" w:sz="0" w:space="0" w:color="auto"/>
            <w:right w:val="none" w:sz="0" w:space="0" w:color="auto"/>
          </w:divBdr>
        </w:div>
      </w:divsChild>
    </w:div>
    <w:div w:id="381448746">
      <w:bodyDiv w:val="1"/>
      <w:marLeft w:val="0"/>
      <w:marRight w:val="0"/>
      <w:marTop w:val="0"/>
      <w:marBottom w:val="0"/>
      <w:divBdr>
        <w:top w:val="none" w:sz="0" w:space="0" w:color="auto"/>
        <w:left w:val="none" w:sz="0" w:space="0" w:color="auto"/>
        <w:bottom w:val="none" w:sz="0" w:space="0" w:color="auto"/>
        <w:right w:val="none" w:sz="0" w:space="0" w:color="auto"/>
      </w:divBdr>
      <w:divsChild>
        <w:div w:id="1980306304">
          <w:marLeft w:val="547"/>
          <w:marRight w:val="0"/>
          <w:marTop w:val="58"/>
          <w:marBottom w:val="0"/>
          <w:divBdr>
            <w:top w:val="none" w:sz="0" w:space="0" w:color="auto"/>
            <w:left w:val="none" w:sz="0" w:space="0" w:color="auto"/>
            <w:bottom w:val="none" w:sz="0" w:space="0" w:color="auto"/>
            <w:right w:val="none" w:sz="0" w:space="0" w:color="auto"/>
          </w:divBdr>
        </w:div>
        <w:div w:id="651060088">
          <w:marLeft w:val="1166"/>
          <w:marRight w:val="0"/>
          <w:marTop w:val="53"/>
          <w:marBottom w:val="0"/>
          <w:divBdr>
            <w:top w:val="none" w:sz="0" w:space="0" w:color="auto"/>
            <w:left w:val="none" w:sz="0" w:space="0" w:color="auto"/>
            <w:bottom w:val="none" w:sz="0" w:space="0" w:color="auto"/>
            <w:right w:val="none" w:sz="0" w:space="0" w:color="auto"/>
          </w:divBdr>
        </w:div>
        <w:div w:id="377054395">
          <w:marLeft w:val="1166"/>
          <w:marRight w:val="0"/>
          <w:marTop w:val="53"/>
          <w:marBottom w:val="0"/>
          <w:divBdr>
            <w:top w:val="none" w:sz="0" w:space="0" w:color="auto"/>
            <w:left w:val="none" w:sz="0" w:space="0" w:color="auto"/>
            <w:bottom w:val="none" w:sz="0" w:space="0" w:color="auto"/>
            <w:right w:val="none" w:sz="0" w:space="0" w:color="auto"/>
          </w:divBdr>
        </w:div>
        <w:div w:id="2114668848">
          <w:marLeft w:val="1699"/>
          <w:marRight w:val="0"/>
          <w:marTop w:val="53"/>
          <w:marBottom w:val="0"/>
          <w:divBdr>
            <w:top w:val="none" w:sz="0" w:space="0" w:color="auto"/>
            <w:left w:val="none" w:sz="0" w:space="0" w:color="auto"/>
            <w:bottom w:val="none" w:sz="0" w:space="0" w:color="auto"/>
            <w:right w:val="none" w:sz="0" w:space="0" w:color="auto"/>
          </w:divBdr>
        </w:div>
        <w:div w:id="1401833147">
          <w:marLeft w:val="1699"/>
          <w:marRight w:val="0"/>
          <w:marTop w:val="53"/>
          <w:marBottom w:val="0"/>
          <w:divBdr>
            <w:top w:val="none" w:sz="0" w:space="0" w:color="auto"/>
            <w:left w:val="none" w:sz="0" w:space="0" w:color="auto"/>
            <w:bottom w:val="none" w:sz="0" w:space="0" w:color="auto"/>
            <w:right w:val="none" w:sz="0" w:space="0" w:color="auto"/>
          </w:divBdr>
        </w:div>
        <w:div w:id="452598809">
          <w:marLeft w:val="1699"/>
          <w:marRight w:val="0"/>
          <w:marTop w:val="53"/>
          <w:marBottom w:val="0"/>
          <w:divBdr>
            <w:top w:val="none" w:sz="0" w:space="0" w:color="auto"/>
            <w:left w:val="none" w:sz="0" w:space="0" w:color="auto"/>
            <w:bottom w:val="none" w:sz="0" w:space="0" w:color="auto"/>
            <w:right w:val="none" w:sz="0" w:space="0" w:color="auto"/>
          </w:divBdr>
        </w:div>
        <w:div w:id="81806278">
          <w:marLeft w:val="1699"/>
          <w:marRight w:val="0"/>
          <w:marTop w:val="53"/>
          <w:marBottom w:val="0"/>
          <w:divBdr>
            <w:top w:val="none" w:sz="0" w:space="0" w:color="auto"/>
            <w:left w:val="none" w:sz="0" w:space="0" w:color="auto"/>
            <w:bottom w:val="none" w:sz="0" w:space="0" w:color="auto"/>
            <w:right w:val="none" w:sz="0" w:space="0" w:color="auto"/>
          </w:divBdr>
        </w:div>
        <w:div w:id="369770874">
          <w:marLeft w:val="1699"/>
          <w:marRight w:val="0"/>
          <w:marTop w:val="53"/>
          <w:marBottom w:val="0"/>
          <w:divBdr>
            <w:top w:val="none" w:sz="0" w:space="0" w:color="auto"/>
            <w:left w:val="none" w:sz="0" w:space="0" w:color="auto"/>
            <w:bottom w:val="none" w:sz="0" w:space="0" w:color="auto"/>
            <w:right w:val="none" w:sz="0" w:space="0" w:color="auto"/>
          </w:divBdr>
        </w:div>
        <w:div w:id="312564852">
          <w:marLeft w:val="1699"/>
          <w:marRight w:val="0"/>
          <w:marTop w:val="53"/>
          <w:marBottom w:val="0"/>
          <w:divBdr>
            <w:top w:val="none" w:sz="0" w:space="0" w:color="auto"/>
            <w:left w:val="none" w:sz="0" w:space="0" w:color="auto"/>
            <w:bottom w:val="none" w:sz="0" w:space="0" w:color="auto"/>
            <w:right w:val="none" w:sz="0" w:space="0" w:color="auto"/>
          </w:divBdr>
        </w:div>
        <w:div w:id="1623075560">
          <w:marLeft w:val="1699"/>
          <w:marRight w:val="0"/>
          <w:marTop w:val="53"/>
          <w:marBottom w:val="0"/>
          <w:divBdr>
            <w:top w:val="none" w:sz="0" w:space="0" w:color="auto"/>
            <w:left w:val="none" w:sz="0" w:space="0" w:color="auto"/>
            <w:bottom w:val="none" w:sz="0" w:space="0" w:color="auto"/>
            <w:right w:val="none" w:sz="0" w:space="0" w:color="auto"/>
          </w:divBdr>
        </w:div>
      </w:divsChild>
    </w:div>
    <w:div w:id="411196695">
      <w:bodyDiv w:val="1"/>
      <w:marLeft w:val="0"/>
      <w:marRight w:val="0"/>
      <w:marTop w:val="0"/>
      <w:marBottom w:val="0"/>
      <w:divBdr>
        <w:top w:val="none" w:sz="0" w:space="0" w:color="auto"/>
        <w:left w:val="none" w:sz="0" w:space="0" w:color="auto"/>
        <w:bottom w:val="none" w:sz="0" w:space="0" w:color="auto"/>
        <w:right w:val="none" w:sz="0" w:space="0" w:color="auto"/>
      </w:divBdr>
    </w:div>
    <w:div w:id="582834599">
      <w:bodyDiv w:val="1"/>
      <w:marLeft w:val="0"/>
      <w:marRight w:val="0"/>
      <w:marTop w:val="0"/>
      <w:marBottom w:val="0"/>
      <w:divBdr>
        <w:top w:val="none" w:sz="0" w:space="0" w:color="auto"/>
        <w:left w:val="none" w:sz="0" w:space="0" w:color="auto"/>
        <w:bottom w:val="none" w:sz="0" w:space="0" w:color="auto"/>
        <w:right w:val="none" w:sz="0" w:space="0" w:color="auto"/>
      </w:divBdr>
    </w:div>
    <w:div w:id="599139633">
      <w:bodyDiv w:val="1"/>
      <w:marLeft w:val="0"/>
      <w:marRight w:val="0"/>
      <w:marTop w:val="0"/>
      <w:marBottom w:val="0"/>
      <w:divBdr>
        <w:top w:val="none" w:sz="0" w:space="0" w:color="auto"/>
        <w:left w:val="none" w:sz="0" w:space="0" w:color="auto"/>
        <w:bottom w:val="none" w:sz="0" w:space="0" w:color="auto"/>
        <w:right w:val="none" w:sz="0" w:space="0" w:color="auto"/>
      </w:divBdr>
    </w:div>
    <w:div w:id="881751640">
      <w:bodyDiv w:val="1"/>
      <w:marLeft w:val="0"/>
      <w:marRight w:val="0"/>
      <w:marTop w:val="0"/>
      <w:marBottom w:val="0"/>
      <w:divBdr>
        <w:top w:val="none" w:sz="0" w:space="0" w:color="auto"/>
        <w:left w:val="none" w:sz="0" w:space="0" w:color="auto"/>
        <w:bottom w:val="none" w:sz="0" w:space="0" w:color="auto"/>
        <w:right w:val="none" w:sz="0" w:space="0" w:color="auto"/>
      </w:divBdr>
    </w:div>
    <w:div w:id="189781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alrus.wr.usgs.gov/globalhydrate/table5a.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2D2A4-88E4-4CE7-9B71-906E10F62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3801</Words>
  <Characters>20910</Characters>
  <Application>Microsoft Office Word</Application>
  <DocSecurity>0</DocSecurity>
  <Lines>174</Lines>
  <Paragraphs>49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Petrobras</Company>
  <LinksUpToDate>false</LinksUpToDate>
  <CharactersWithSpaces>24662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de Freitas Sugaya</dc:creator>
  <cp:lastModifiedBy>KCD</cp:lastModifiedBy>
  <cp:revision>2</cp:revision>
  <dcterms:created xsi:type="dcterms:W3CDTF">2013-09-19T13:33:00Z</dcterms:created>
  <dcterms:modified xsi:type="dcterms:W3CDTF">2013-09-19T13:33:00Z</dcterms:modified>
</cp:coreProperties>
</file>